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658"/>
        <w:gridCol w:w="3948"/>
      </w:tblGrid>
      <w:tr w:rsidR="006309AF" w:rsidRPr="00083A6E" w:rsidTr="006309AF">
        <w:trPr>
          <w:trHeight w:val="461"/>
        </w:trPr>
        <w:tc>
          <w:tcPr>
            <w:tcW w:w="9209" w:type="dxa"/>
            <w:gridSpan w:val="3"/>
            <w:shd w:val="clear" w:color="auto" w:fill="auto"/>
          </w:tcPr>
          <w:p w:rsidR="006309AF" w:rsidRDefault="006309AF" w:rsidP="00751764">
            <w:pPr>
              <w:spacing w:after="120"/>
              <w:ind w:firstLine="720"/>
              <w:jc w:val="center"/>
              <w:rPr>
                <w:sz w:val="24"/>
                <w:szCs w:val="24"/>
                <w:lang w:val="lv-LV"/>
              </w:rPr>
            </w:pPr>
            <w:r w:rsidRPr="00083A6E">
              <w:rPr>
                <w:b/>
                <w:sz w:val="24"/>
                <w:szCs w:val="24"/>
                <w:lang w:val="lv-LV"/>
              </w:rPr>
              <w:t>Skaidrojums Nr.1</w:t>
            </w:r>
          </w:p>
          <w:p w:rsidR="006309AF" w:rsidRPr="00083A6E" w:rsidRDefault="006309AF" w:rsidP="00751764">
            <w:pPr>
              <w:spacing w:after="120"/>
              <w:ind w:firstLine="720"/>
              <w:jc w:val="center"/>
              <w:rPr>
                <w:b/>
                <w:sz w:val="24"/>
                <w:szCs w:val="24"/>
                <w:lang w:val="lv-LV"/>
              </w:rPr>
            </w:pPr>
            <w:r w:rsidRPr="00083A6E">
              <w:rPr>
                <w:sz w:val="24"/>
                <w:szCs w:val="24"/>
                <w:lang w:val="lv-LV"/>
              </w:rPr>
              <w:t>atklātam konkursam “</w:t>
            </w:r>
            <w:r w:rsidRPr="00083A6E">
              <w:rPr>
                <w:sz w:val="24"/>
                <w:szCs w:val="24"/>
                <w:lang w:val="lv-LV" w:eastAsia="lv-LV"/>
              </w:rPr>
              <w:t>Rīgas dzelzceļa mezgla posma Sarkandaugava – Mangaļi – Ziemeļblāzma modernizācija: būvuzraudzība</w:t>
            </w:r>
            <w:r w:rsidRPr="00083A6E">
              <w:rPr>
                <w:sz w:val="24"/>
                <w:szCs w:val="24"/>
                <w:lang w:val="lv-LV"/>
              </w:rPr>
              <w:t xml:space="preserve">” (iepirkuma identifikācijas numurs: </w:t>
            </w:r>
            <w:r w:rsidRPr="00083A6E">
              <w:rPr>
                <w:bCs/>
                <w:sz w:val="24"/>
                <w:szCs w:val="24"/>
                <w:lang w:val="lv-LV"/>
              </w:rPr>
              <w:t>LDZ 2017/8-IB</w:t>
            </w:r>
            <w:r w:rsidRPr="00083A6E">
              <w:rPr>
                <w:sz w:val="24"/>
                <w:szCs w:val="24"/>
                <w:lang w:val="lv-LV"/>
              </w:rPr>
              <w:t>/6.2.1.2/16/I/001/02-01)</w:t>
            </w:r>
          </w:p>
        </w:tc>
      </w:tr>
      <w:tr w:rsidR="006309AF" w:rsidRPr="00083A6E" w:rsidTr="006309AF">
        <w:trPr>
          <w:trHeight w:val="461"/>
        </w:trPr>
        <w:tc>
          <w:tcPr>
            <w:tcW w:w="603" w:type="dxa"/>
            <w:shd w:val="clear" w:color="auto" w:fill="auto"/>
          </w:tcPr>
          <w:p w:rsidR="006309AF" w:rsidRPr="00083A6E" w:rsidRDefault="006309AF" w:rsidP="00751764">
            <w:pPr>
              <w:jc w:val="center"/>
              <w:rPr>
                <w:b/>
                <w:sz w:val="24"/>
                <w:szCs w:val="24"/>
                <w:lang w:val="lv-LV"/>
              </w:rPr>
            </w:pPr>
            <w:r w:rsidRPr="00083A6E">
              <w:rPr>
                <w:b/>
                <w:sz w:val="24"/>
                <w:szCs w:val="24"/>
                <w:lang w:val="lv-LV"/>
              </w:rPr>
              <w:t>Nr. p.k.</w:t>
            </w:r>
          </w:p>
        </w:tc>
        <w:tc>
          <w:tcPr>
            <w:tcW w:w="4658" w:type="dxa"/>
            <w:shd w:val="clear" w:color="auto" w:fill="auto"/>
          </w:tcPr>
          <w:p w:rsidR="006309AF" w:rsidRPr="00083A6E" w:rsidRDefault="006309AF" w:rsidP="00751764">
            <w:pPr>
              <w:jc w:val="center"/>
              <w:rPr>
                <w:b/>
                <w:color w:val="000000"/>
                <w:sz w:val="24"/>
                <w:szCs w:val="24"/>
                <w:lang w:val="lv-LV"/>
              </w:rPr>
            </w:pPr>
            <w:r w:rsidRPr="00083A6E">
              <w:rPr>
                <w:b/>
                <w:color w:val="000000"/>
                <w:sz w:val="24"/>
                <w:szCs w:val="24"/>
                <w:lang w:val="lv-LV"/>
              </w:rPr>
              <w:t>Jautājumi</w:t>
            </w:r>
          </w:p>
        </w:tc>
        <w:tc>
          <w:tcPr>
            <w:tcW w:w="3948" w:type="dxa"/>
            <w:shd w:val="clear" w:color="auto" w:fill="auto"/>
          </w:tcPr>
          <w:p w:rsidR="006309AF" w:rsidRPr="00083A6E" w:rsidRDefault="006309AF" w:rsidP="00751764">
            <w:pPr>
              <w:jc w:val="center"/>
              <w:rPr>
                <w:b/>
                <w:sz w:val="24"/>
                <w:szCs w:val="24"/>
                <w:lang w:val="lv-LV"/>
              </w:rPr>
            </w:pPr>
            <w:r w:rsidRPr="00083A6E">
              <w:rPr>
                <w:b/>
                <w:sz w:val="24"/>
                <w:szCs w:val="24"/>
                <w:lang w:val="lv-LV"/>
              </w:rPr>
              <w:t>Atbildes</w:t>
            </w:r>
          </w:p>
        </w:tc>
      </w:tr>
      <w:tr w:rsidR="006309AF" w:rsidRPr="00083A6E" w:rsidTr="006309AF">
        <w:tc>
          <w:tcPr>
            <w:tcW w:w="603" w:type="dxa"/>
            <w:shd w:val="clear" w:color="auto" w:fill="auto"/>
          </w:tcPr>
          <w:p w:rsidR="006309AF" w:rsidRPr="00083A6E" w:rsidRDefault="006309AF" w:rsidP="00751764">
            <w:pPr>
              <w:rPr>
                <w:sz w:val="24"/>
                <w:szCs w:val="24"/>
                <w:lang w:val="lv-LV"/>
              </w:rPr>
            </w:pPr>
            <w:r w:rsidRPr="00083A6E">
              <w:rPr>
                <w:sz w:val="24"/>
                <w:szCs w:val="24"/>
                <w:lang w:val="lv-LV"/>
              </w:rPr>
              <w:t>1.</w:t>
            </w:r>
          </w:p>
        </w:tc>
        <w:tc>
          <w:tcPr>
            <w:tcW w:w="4658" w:type="dxa"/>
            <w:shd w:val="clear" w:color="auto" w:fill="auto"/>
          </w:tcPr>
          <w:p w:rsidR="006309AF" w:rsidRPr="00083A6E" w:rsidRDefault="006309AF" w:rsidP="00751764">
            <w:pPr>
              <w:rPr>
                <w:sz w:val="24"/>
                <w:szCs w:val="24"/>
                <w:lang w:val="lv-LV"/>
              </w:rPr>
            </w:pPr>
            <w:r w:rsidRPr="00083A6E">
              <w:rPr>
                <w:sz w:val="24"/>
                <w:szCs w:val="24"/>
                <w:lang w:val="lv-LV"/>
              </w:rPr>
              <w:t>Nolikuma 3.pielikuma “Darba uzdevums” 6.2.punktā attiecībā uz dzelzceļa sliežu ceļu būvdarbu būvuzraugu - atbildīgo būvuzraugu ir noteikts, ka būvdarbu laikā atbildīgajam būvuzraugam jābūt pilna darba laika piesaistei. Vai atbildīgajam būvuzraugam jābūt piesaistītam objektā uz pilnu darba laiku tikai būvdarbu laikā vai arī projektēšanas laikā? Kā arī lūdzam noteikt kāds ir projektēšanas darbu ilgums un kāds ir būvdarbu ilgums.</w:t>
            </w:r>
          </w:p>
        </w:tc>
        <w:tc>
          <w:tcPr>
            <w:tcW w:w="3948" w:type="dxa"/>
            <w:shd w:val="clear" w:color="auto" w:fill="auto"/>
          </w:tcPr>
          <w:p w:rsidR="006309AF" w:rsidRPr="00083A6E" w:rsidRDefault="006309AF" w:rsidP="006309AF">
            <w:pPr>
              <w:rPr>
                <w:sz w:val="24"/>
                <w:szCs w:val="24"/>
                <w:lang w:val="lv-LV"/>
              </w:rPr>
            </w:pPr>
            <w:r w:rsidRPr="00083A6E">
              <w:rPr>
                <w:sz w:val="24"/>
                <w:szCs w:val="24"/>
                <w:lang w:val="lv-LV"/>
              </w:rPr>
              <w:t>Būvdarbu laikā atbildīgajam būvuzraugam jābūt pilna darba laika piesaistei. Projektēšanas laikā nav nepieciešama pilna darba laika piesaiste.</w:t>
            </w:r>
          </w:p>
          <w:p w:rsidR="006309AF" w:rsidRPr="00083A6E" w:rsidRDefault="006309AF" w:rsidP="006309AF">
            <w:pPr>
              <w:rPr>
                <w:sz w:val="24"/>
                <w:szCs w:val="24"/>
                <w:lang w:val="lv-LV"/>
              </w:rPr>
            </w:pPr>
            <w:r w:rsidRPr="00083A6E">
              <w:rPr>
                <w:sz w:val="24"/>
                <w:szCs w:val="24"/>
                <w:lang w:val="lv-LV"/>
              </w:rPr>
              <w:t xml:space="preserve">Darba līguma “Rīgas dzelzceļa mezgla posma Sarkandaugava – Mangaļi – Ziemeļblāzma modernizācija” izpildes laiks ir 36 (trīsdesmit seši) mēneši no Darba līguma parakstīšanas datuma. Projektēšanas un būvdarbu izpildes laiks tiks noteikts Darbu līguma īstenošanas laikā, kas ir atkarīgs no Uzņēmēja. Katram  Uzņēmējam var būt atšķirīgas Darbu līguma izpildes pieejas, ko pieļauj arī </w:t>
            </w:r>
            <w:r w:rsidRPr="00083A6E">
              <w:rPr>
                <w:bCs/>
                <w:sz w:val="24"/>
                <w:szCs w:val="24"/>
                <w:lang w:val="lv-LV"/>
              </w:rPr>
              <w:t xml:space="preserve">Latvijas Republikas spēkā esošie normatīvie akti. </w:t>
            </w:r>
          </w:p>
        </w:tc>
      </w:tr>
      <w:tr w:rsidR="006309AF" w:rsidRPr="00083A6E" w:rsidTr="006309AF">
        <w:tc>
          <w:tcPr>
            <w:tcW w:w="603" w:type="dxa"/>
            <w:shd w:val="clear" w:color="auto" w:fill="auto"/>
          </w:tcPr>
          <w:p w:rsidR="006309AF" w:rsidRPr="00083A6E" w:rsidRDefault="006309AF" w:rsidP="00751764">
            <w:pPr>
              <w:rPr>
                <w:sz w:val="24"/>
                <w:szCs w:val="24"/>
                <w:lang w:val="lv-LV"/>
              </w:rPr>
            </w:pPr>
            <w:r w:rsidRPr="00083A6E">
              <w:rPr>
                <w:sz w:val="24"/>
                <w:szCs w:val="24"/>
                <w:lang w:val="lv-LV"/>
              </w:rPr>
              <w:t>2.</w:t>
            </w:r>
          </w:p>
        </w:tc>
        <w:tc>
          <w:tcPr>
            <w:tcW w:w="4658" w:type="dxa"/>
            <w:shd w:val="clear" w:color="auto" w:fill="auto"/>
          </w:tcPr>
          <w:p w:rsidR="006309AF" w:rsidRPr="00083A6E" w:rsidRDefault="006309AF" w:rsidP="00751764">
            <w:pPr>
              <w:rPr>
                <w:sz w:val="24"/>
                <w:szCs w:val="24"/>
                <w:lang w:val="lv-LV"/>
              </w:rPr>
            </w:pPr>
            <w:r w:rsidRPr="00083A6E">
              <w:rPr>
                <w:sz w:val="24"/>
                <w:szCs w:val="24"/>
                <w:lang w:val="lv-LV"/>
              </w:rPr>
              <w:t xml:space="preserve">Nolikuma 3.pielikuma “Darba uzdevums” 6.2. punktā attiecībā uz tiltu  (tiltu, gājēju </w:t>
            </w:r>
            <w:proofErr w:type="spellStart"/>
            <w:r w:rsidRPr="00083A6E">
              <w:rPr>
                <w:sz w:val="24"/>
                <w:szCs w:val="24"/>
                <w:lang w:val="lv-LV"/>
              </w:rPr>
              <w:t>divlīmeņu</w:t>
            </w:r>
            <w:proofErr w:type="spellEnd"/>
            <w:r w:rsidRPr="00083A6E">
              <w:rPr>
                <w:sz w:val="24"/>
                <w:szCs w:val="24"/>
                <w:lang w:val="lv-LV"/>
              </w:rPr>
              <w:t xml:space="preserve"> dzelzceļa šķērsojumi) būvdarbu būvuzraugu ir noteikts, ka viņam jābūt vismaz vienā infrastruktūras objektā veicis inženiertehnisko būvju darbu uzraudzību un/vai būvuzraudzību, kurš nodots ekspluatācijā, kur finanšu ietilpība inženiertehnisko būvju izbūvei/pārbūvei ir vismaz EUR 1 000 000 (viens miljons </w:t>
            </w:r>
            <w:proofErr w:type="spellStart"/>
            <w:r w:rsidRPr="00083A6E">
              <w:rPr>
                <w:i/>
                <w:sz w:val="24"/>
                <w:szCs w:val="24"/>
                <w:lang w:val="lv-LV"/>
              </w:rPr>
              <w:t>euro</w:t>
            </w:r>
            <w:proofErr w:type="spellEnd"/>
            <w:r w:rsidRPr="00083A6E">
              <w:rPr>
                <w:sz w:val="24"/>
                <w:szCs w:val="24"/>
                <w:lang w:val="lv-LV"/>
              </w:rPr>
              <w:t>) bez PVN. Lūdzam paskaidrot, ko Pasūtītājs ir domājis kā finanšu ietilpību inženiertehnisko būvju izbūvei/pārbūvei. Vai tās ir objekta kopējās būvdarbu izmaksas?</w:t>
            </w:r>
          </w:p>
        </w:tc>
        <w:tc>
          <w:tcPr>
            <w:tcW w:w="3948" w:type="dxa"/>
            <w:shd w:val="clear" w:color="auto" w:fill="auto"/>
          </w:tcPr>
          <w:p w:rsidR="006309AF" w:rsidRPr="00083A6E" w:rsidRDefault="006309AF" w:rsidP="006309AF">
            <w:pPr>
              <w:rPr>
                <w:sz w:val="24"/>
                <w:szCs w:val="24"/>
                <w:lang w:val="lv-LV"/>
              </w:rPr>
            </w:pPr>
            <w:r w:rsidRPr="00083A6E">
              <w:rPr>
                <w:sz w:val="24"/>
                <w:szCs w:val="24"/>
                <w:lang w:val="lv-LV"/>
              </w:rPr>
              <w:t xml:space="preserve">Finanšu ietilpība 1 000 000,00 EUR (viens miljons </w:t>
            </w:r>
            <w:proofErr w:type="spellStart"/>
            <w:r w:rsidRPr="00083A6E">
              <w:rPr>
                <w:i/>
                <w:sz w:val="24"/>
                <w:szCs w:val="24"/>
                <w:lang w:val="lv-LV"/>
              </w:rPr>
              <w:t>euro</w:t>
            </w:r>
            <w:proofErr w:type="spellEnd"/>
            <w:r w:rsidRPr="00083A6E">
              <w:rPr>
                <w:sz w:val="24"/>
                <w:szCs w:val="24"/>
                <w:lang w:val="lv-LV"/>
              </w:rPr>
              <w:t>) bez PVN ir par:</w:t>
            </w:r>
          </w:p>
          <w:p w:rsidR="006309AF" w:rsidRPr="00083A6E" w:rsidRDefault="006309AF" w:rsidP="006309AF">
            <w:pPr>
              <w:numPr>
                <w:ilvl w:val="0"/>
                <w:numId w:val="1"/>
              </w:numPr>
              <w:ind w:left="317" w:hanging="284"/>
              <w:rPr>
                <w:iCs/>
                <w:sz w:val="24"/>
                <w:szCs w:val="24"/>
                <w:lang w:val="lv-LV"/>
              </w:rPr>
            </w:pPr>
            <w:r w:rsidRPr="00083A6E">
              <w:rPr>
                <w:iCs/>
                <w:sz w:val="24"/>
                <w:szCs w:val="24"/>
                <w:lang w:val="lv-LV"/>
              </w:rPr>
              <w:t xml:space="preserve">būvdarbu līgumu (objektu), ja līgumā tika veikti tikai inženiertehniskās būves (tiltu, </w:t>
            </w:r>
            <w:bookmarkStart w:id="0" w:name="_GoBack"/>
            <w:bookmarkEnd w:id="0"/>
            <w:r w:rsidRPr="00083A6E">
              <w:rPr>
                <w:iCs/>
                <w:sz w:val="24"/>
                <w:szCs w:val="24"/>
                <w:lang w:val="lv-LV"/>
              </w:rPr>
              <w:t xml:space="preserve">gājēju </w:t>
            </w:r>
            <w:proofErr w:type="spellStart"/>
            <w:r w:rsidRPr="00083A6E">
              <w:rPr>
                <w:iCs/>
                <w:sz w:val="24"/>
                <w:szCs w:val="24"/>
                <w:lang w:val="lv-LV"/>
              </w:rPr>
              <w:t>divlīmeņu</w:t>
            </w:r>
            <w:proofErr w:type="spellEnd"/>
            <w:r w:rsidRPr="00083A6E">
              <w:rPr>
                <w:iCs/>
                <w:sz w:val="24"/>
                <w:szCs w:val="24"/>
                <w:lang w:val="lv-LV"/>
              </w:rPr>
              <w:t xml:space="preserve"> šķērsojumi) būvdarbi, vai </w:t>
            </w:r>
          </w:p>
          <w:p w:rsidR="006309AF" w:rsidRPr="00083A6E" w:rsidRDefault="006309AF" w:rsidP="006309AF">
            <w:pPr>
              <w:numPr>
                <w:ilvl w:val="0"/>
                <w:numId w:val="1"/>
              </w:numPr>
              <w:ind w:left="317" w:hanging="284"/>
              <w:rPr>
                <w:sz w:val="24"/>
                <w:szCs w:val="24"/>
                <w:lang w:val="lv-LV"/>
              </w:rPr>
            </w:pPr>
            <w:r w:rsidRPr="00083A6E">
              <w:rPr>
                <w:iCs/>
                <w:sz w:val="24"/>
                <w:szCs w:val="24"/>
                <w:lang w:val="lv-LV"/>
              </w:rPr>
              <w:t>tikai inženiertehniskās būves būvdarbu daļu, ja līgumā (objektā) tika veikti arī citi būvdarbi, kas nav saistīti ar inženiertehnisko būvi.</w:t>
            </w:r>
          </w:p>
        </w:tc>
      </w:tr>
      <w:tr w:rsidR="006309AF" w:rsidRPr="00083A6E" w:rsidTr="006309AF">
        <w:tc>
          <w:tcPr>
            <w:tcW w:w="603" w:type="dxa"/>
            <w:shd w:val="clear" w:color="auto" w:fill="auto"/>
          </w:tcPr>
          <w:p w:rsidR="006309AF" w:rsidRPr="00083A6E" w:rsidRDefault="006309AF" w:rsidP="00751764">
            <w:pPr>
              <w:rPr>
                <w:sz w:val="24"/>
                <w:szCs w:val="24"/>
                <w:lang w:val="lv-LV"/>
              </w:rPr>
            </w:pPr>
            <w:r w:rsidRPr="00083A6E">
              <w:rPr>
                <w:sz w:val="24"/>
                <w:szCs w:val="24"/>
                <w:lang w:val="lv-LV"/>
              </w:rPr>
              <w:t>3.</w:t>
            </w:r>
          </w:p>
        </w:tc>
        <w:tc>
          <w:tcPr>
            <w:tcW w:w="4658" w:type="dxa"/>
            <w:shd w:val="clear" w:color="auto" w:fill="auto"/>
          </w:tcPr>
          <w:p w:rsidR="006309AF" w:rsidRPr="00083A6E" w:rsidRDefault="006309AF" w:rsidP="00751764">
            <w:pPr>
              <w:rPr>
                <w:sz w:val="24"/>
                <w:szCs w:val="24"/>
                <w:lang w:val="lv-LV"/>
              </w:rPr>
            </w:pPr>
            <w:r w:rsidRPr="00083A6E">
              <w:rPr>
                <w:sz w:val="24"/>
                <w:szCs w:val="24"/>
                <w:lang w:val="lv-LV"/>
              </w:rPr>
              <w:t>Nolikuma 3.pielikuma “Darba uzdevums” 6.2. punktā ir noteiktas kvalifikācijas prasības attiecībā uz Inženiera personālu. Vai speciālists var tikt piesaistīts vairākām pozīcijām gadījumā, ja viņam ir atbilstoša kvalifikācija un pieredze?</w:t>
            </w:r>
          </w:p>
        </w:tc>
        <w:tc>
          <w:tcPr>
            <w:tcW w:w="3948" w:type="dxa"/>
            <w:shd w:val="clear" w:color="auto" w:fill="auto"/>
          </w:tcPr>
          <w:p w:rsidR="006309AF" w:rsidRPr="00083A6E" w:rsidRDefault="006309AF" w:rsidP="006309AF">
            <w:pPr>
              <w:rPr>
                <w:sz w:val="24"/>
                <w:szCs w:val="24"/>
                <w:lang w:val="lv-LV"/>
              </w:rPr>
            </w:pPr>
            <w:r w:rsidRPr="00083A6E">
              <w:rPr>
                <w:sz w:val="24"/>
                <w:szCs w:val="24"/>
                <w:lang w:val="lv-LV"/>
              </w:rPr>
              <w:t xml:space="preserve">Speciālists var tikt piesaistīts vairākām pozīcijām, ja to pieļauj </w:t>
            </w:r>
            <w:r w:rsidRPr="00083A6E">
              <w:rPr>
                <w:bCs/>
                <w:sz w:val="24"/>
                <w:szCs w:val="24"/>
                <w:lang w:val="lv-LV"/>
              </w:rPr>
              <w:t xml:space="preserve">Latvijas Republikas spēkā esošie normatīvie akti, un </w:t>
            </w:r>
            <w:r w:rsidRPr="00083A6E">
              <w:rPr>
                <w:sz w:val="24"/>
                <w:szCs w:val="24"/>
                <w:lang w:val="lv-LV"/>
              </w:rPr>
              <w:t>tiek nodrošināta/nekavēta Līguma izpilde pildot vairākus pienākumus vienlaicīgi.</w:t>
            </w:r>
          </w:p>
        </w:tc>
      </w:tr>
      <w:tr w:rsidR="006309AF" w:rsidRPr="00083A6E" w:rsidTr="006309AF">
        <w:tc>
          <w:tcPr>
            <w:tcW w:w="603" w:type="dxa"/>
            <w:shd w:val="clear" w:color="auto" w:fill="auto"/>
          </w:tcPr>
          <w:p w:rsidR="006309AF" w:rsidRPr="00083A6E" w:rsidRDefault="006309AF" w:rsidP="00751764">
            <w:pPr>
              <w:rPr>
                <w:sz w:val="24"/>
                <w:szCs w:val="24"/>
                <w:lang w:val="lv-LV"/>
              </w:rPr>
            </w:pPr>
            <w:r w:rsidRPr="00083A6E">
              <w:rPr>
                <w:sz w:val="24"/>
                <w:szCs w:val="24"/>
                <w:lang w:val="lv-LV"/>
              </w:rPr>
              <w:t>4.</w:t>
            </w:r>
          </w:p>
        </w:tc>
        <w:tc>
          <w:tcPr>
            <w:tcW w:w="4658" w:type="dxa"/>
            <w:shd w:val="clear" w:color="auto" w:fill="auto"/>
          </w:tcPr>
          <w:p w:rsidR="006309AF" w:rsidRPr="00083A6E" w:rsidRDefault="006309AF" w:rsidP="00751764">
            <w:pPr>
              <w:rPr>
                <w:sz w:val="24"/>
                <w:szCs w:val="24"/>
                <w:lang w:val="lv-LV"/>
              </w:rPr>
            </w:pPr>
            <w:r w:rsidRPr="00083A6E">
              <w:rPr>
                <w:sz w:val="24"/>
                <w:szCs w:val="24"/>
                <w:lang w:val="lv-LV"/>
              </w:rPr>
              <w:t xml:space="preserve">Nolikuma 3.pielikuma “Darba uzdevums” 6.3. punktā ir noteikts, ka kopējam plānotajam Inženiera cilvēkdienu skaitam ir jābūt ne mazākam par 2000 dienām. Vai </w:t>
            </w:r>
            <w:r w:rsidRPr="00083A6E">
              <w:rPr>
                <w:sz w:val="24"/>
                <w:szCs w:val="24"/>
                <w:lang w:val="lv-LV"/>
              </w:rPr>
              <w:lastRenderedPageBreak/>
              <w:t>kopējais Inženiera cilvēkdienu skaits iekļauj sevī arī darbu birojā, piemēram projektēšanas laikā vai būvdarbu laikā dokumentācijas sagatavošanai? Ja jā, tad kā tiks veikta faktiska cilvēkdienu uzskaite līguma izpildes laikā (piem., projektēšanas laikā)?</w:t>
            </w:r>
          </w:p>
        </w:tc>
        <w:tc>
          <w:tcPr>
            <w:tcW w:w="3948" w:type="dxa"/>
            <w:shd w:val="clear" w:color="auto" w:fill="auto"/>
          </w:tcPr>
          <w:p w:rsidR="006309AF" w:rsidRPr="00083A6E" w:rsidRDefault="006309AF" w:rsidP="006309AF">
            <w:pPr>
              <w:rPr>
                <w:sz w:val="24"/>
                <w:szCs w:val="24"/>
                <w:lang w:val="lv-LV"/>
              </w:rPr>
            </w:pPr>
            <w:r w:rsidRPr="00083A6E">
              <w:rPr>
                <w:sz w:val="24"/>
                <w:szCs w:val="24"/>
                <w:lang w:val="lv-LV"/>
              </w:rPr>
              <w:lastRenderedPageBreak/>
              <w:t xml:space="preserve">Kopējais Inženiera cilvēkdienu skaits iekļauj arī darbu birojā.  </w:t>
            </w:r>
          </w:p>
          <w:p w:rsidR="006309AF" w:rsidRPr="00083A6E" w:rsidRDefault="006309AF" w:rsidP="006309AF">
            <w:pPr>
              <w:rPr>
                <w:sz w:val="24"/>
                <w:szCs w:val="24"/>
                <w:lang w:val="lv-LV"/>
              </w:rPr>
            </w:pPr>
            <w:r w:rsidRPr="00083A6E">
              <w:rPr>
                <w:sz w:val="24"/>
                <w:szCs w:val="24"/>
                <w:lang w:val="lv-LV"/>
              </w:rPr>
              <w:lastRenderedPageBreak/>
              <w:t>Jāveic katra speciālista cilvēkdienu uzskaite un jāiesniedz Pasūtītājam saskaņā ar  Līgumu.</w:t>
            </w:r>
          </w:p>
        </w:tc>
      </w:tr>
    </w:tbl>
    <w:p w:rsidR="00DB7F99" w:rsidRPr="006309AF" w:rsidRDefault="00DB7F99">
      <w:pPr>
        <w:rPr>
          <w:lang w:val="lv-LV"/>
        </w:rPr>
      </w:pPr>
    </w:p>
    <w:sectPr w:rsidR="00DB7F99" w:rsidRPr="006309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7A3BDD"/>
    <w:multiLevelType w:val="hybridMultilevel"/>
    <w:tmpl w:val="9DE4A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5FE"/>
    <w:rsid w:val="006309AF"/>
    <w:rsid w:val="00DB7F99"/>
    <w:rsid w:val="00E635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395F0-AC89-4383-9021-CE68E0FC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9A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2021</Words>
  <Characters>1153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2</cp:revision>
  <dcterms:created xsi:type="dcterms:W3CDTF">2017-04-24T12:35:00Z</dcterms:created>
  <dcterms:modified xsi:type="dcterms:W3CDTF">2017-04-24T12:35:00Z</dcterms:modified>
</cp:coreProperties>
</file>