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075"/>
        <w:gridCol w:w="4536"/>
      </w:tblGrid>
      <w:tr w:rsidR="00CA4DD6" w:rsidRPr="00277D7E" w14:paraId="272B3410" w14:textId="77777777" w:rsidTr="00E86EB5">
        <w:tc>
          <w:tcPr>
            <w:tcW w:w="10887" w:type="dxa"/>
            <w:gridSpan w:val="3"/>
            <w:shd w:val="clear" w:color="auto" w:fill="auto"/>
          </w:tcPr>
          <w:p w14:paraId="7E58DCE8" w14:textId="48DF0256" w:rsidR="00CA4DD6" w:rsidRDefault="00FD3644" w:rsidP="008A6F71">
            <w:pPr>
              <w:spacing w:after="120"/>
              <w:ind w:right="284"/>
              <w:jc w:val="center"/>
              <w:rPr>
                <w:sz w:val="24"/>
                <w:szCs w:val="24"/>
                <w:lang w:val="lv-LV"/>
              </w:rPr>
            </w:pPr>
            <w:r>
              <w:rPr>
                <w:b/>
                <w:color w:val="000000"/>
                <w:sz w:val="24"/>
                <w:szCs w:val="24"/>
                <w:lang w:val="lv-LV"/>
              </w:rPr>
              <w:t>Skaidrojums Nr.2</w:t>
            </w:r>
            <w:r w:rsidR="00CA4DD6" w:rsidRPr="00663CB1">
              <w:rPr>
                <w:sz w:val="24"/>
                <w:szCs w:val="24"/>
                <w:lang w:val="lv-LV"/>
              </w:rPr>
              <w:t xml:space="preserve"> </w:t>
            </w:r>
            <w:r w:rsidR="009432D3" w:rsidRPr="009432D3">
              <w:rPr>
                <w:color w:val="70AD47" w:themeColor="accent6"/>
                <w:sz w:val="24"/>
                <w:szCs w:val="24"/>
                <w:lang w:val="lv-LV"/>
              </w:rPr>
              <w:t>(4.atbildes precizējums)</w:t>
            </w:r>
          </w:p>
          <w:p w14:paraId="321F9BF4" w14:textId="77777777" w:rsidR="00627BC5" w:rsidRPr="00627BC5" w:rsidRDefault="00CA4DD6" w:rsidP="00627BC5">
            <w:pPr>
              <w:jc w:val="center"/>
              <w:rPr>
                <w:sz w:val="24"/>
                <w:szCs w:val="24"/>
                <w:lang w:val="lv-LV"/>
              </w:rPr>
            </w:pPr>
            <w:r w:rsidRPr="00627BC5">
              <w:rPr>
                <w:sz w:val="24"/>
                <w:szCs w:val="24"/>
                <w:lang w:val="lv-LV"/>
              </w:rPr>
              <w:t xml:space="preserve">atklātam konkursam </w:t>
            </w:r>
            <w:r w:rsidR="00627BC5" w:rsidRPr="00627BC5">
              <w:rPr>
                <w:bCs/>
                <w:sz w:val="24"/>
                <w:szCs w:val="24"/>
                <w:lang w:val="lv-LV"/>
              </w:rPr>
              <w:t>“</w:t>
            </w:r>
            <w:r w:rsidR="00627BC5" w:rsidRPr="00627BC5">
              <w:rPr>
                <w:sz w:val="24"/>
                <w:szCs w:val="24"/>
                <w:lang w:val="lv-LV"/>
              </w:rPr>
              <w:t xml:space="preserve">Daugavpils šķirošanas stacijas attīstība: būvuzraudzība” </w:t>
            </w:r>
            <w:bookmarkStart w:id="0" w:name="_GoBack"/>
            <w:bookmarkEnd w:id="0"/>
          </w:p>
          <w:p w14:paraId="01AEBA3C" w14:textId="77777777" w:rsidR="00CA4DD6" w:rsidRPr="00663CB1" w:rsidRDefault="00627BC5" w:rsidP="00627BC5">
            <w:pPr>
              <w:jc w:val="center"/>
              <w:rPr>
                <w:b/>
                <w:color w:val="000000"/>
                <w:sz w:val="24"/>
                <w:szCs w:val="24"/>
                <w:lang w:val="lv-LV"/>
              </w:rPr>
            </w:pPr>
            <w:r w:rsidRPr="00627BC5">
              <w:rPr>
                <w:sz w:val="24"/>
                <w:szCs w:val="24"/>
                <w:lang w:val="lv-LV"/>
              </w:rPr>
              <w:t xml:space="preserve">(iepirkuma identifikācijas numurs: </w:t>
            </w:r>
            <w:r w:rsidRPr="00627BC5">
              <w:rPr>
                <w:bCs/>
                <w:sz w:val="24"/>
                <w:szCs w:val="24"/>
                <w:lang w:val="lv-LV"/>
              </w:rPr>
              <w:t>LDZ 2017/9-IB</w:t>
            </w:r>
            <w:r w:rsidRPr="00627BC5">
              <w:rPr>
                <w:sz w:val="24"/>
                <w:szCs w:val="24"/>
                <w:lang w:val="lv-LV"/>
              </w:rPr>
              <w:t>/6.2.1.2/16/I/002/02-01)</w:t>
            </w:r>
          </w:p>
        </w:tc>
      </w:tr>
      <w:tr w:rsidR="00CA4DD6" w:rsidRPr="00663CB1" w14:paraId="1B5D9960" w14:textId="77777777" w:rsidTr="00E86EB5">
        <w:tc>
          <w:tcPr>
            <w:tcW w:w="1276" w:type="dxa"/>
            <w:shd w:val="clear" w:color="auto" w:fill="auto"/>
          </w:tcPr>
          <w:p w14:paraId="3F79205B" w14:textId="77777777" w:rsidR="00CA4DD6" w:rsidRPr="00663CB1" w:rsidRDefault="00CA4DD6" w:rsidP="008A6F71">
            <w:pPr>
              <w:spacing w:after="120"/>
              <w:ind w:right="284"/>
              <w:jc w:val="center"/>
              <w:rPr>
                <w:b/>
                <w:color w:val="000000"/>
                <w:sz w:val="24"/>
                <w:szCs w:val="24"/>
                <w:lang w:val="lv-LV"/>
              </w:rPr>
            </w:pPr>
            <w:proofErr w:type="spellStart"/>
            <w:r w:rsidRPr="00663CB1">
              <w:rPr>
                <w:b/>
                <w:color w:val="000000"/>
                <w:sz w:val="24"/>
                <w:szCs w:val="24"/>
                <w:lang w:val="lv-LV"/>
              </w:rPr>
              <w:t>Nr.p.k</w:t>
            </w:r>
            <w:proofErr w:type="spellEnd"/>
            <w:r w:rsidRPr="00663CB1">
              <w:rPr>
                <w:b/>
                <w:color w:val="000000"/>
                <w:sz w:val="24"/>
                <w:szCs w:val="24"/>
                <w:lang w:val="lv-LV"/>
              </w:rPr>
              <w:t>.</w:t>
            </w:r>
          </w:p>
        </w:tc>
        <w:tc>
          <w:tcPr>
            <w:tcW w:w="5075" w:type="dxa"/>
            <w:shd w:val="clear" w:color="auto" w:fill="auto"/>
          </w:tcPr>
          <w:p w14:paraId="24DB2C09" w14:textId="77777777"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Jautājumi</w:t>
            </w:r>
          </w:p>
        </w:tc>
        <w:tc>
          <w:tcPr>
            <w:tcW w:w="4536" w:type="dxa"/>
            <w:shd w:val="clear" w:color="auto" w:fill="auto"/>
          </w:tcPr>
          <w:p w14:paraId="07351B1B" w14:textId="77777777"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Atbildes</w:t>
            </w:r>
          </w:p>
        </w:tc>
      </w:tr>
      <w:tr w:rsidR="00CA4DD6" w:rsidRPr="009432D3" w14:paraId="369439C7" w14:textId="77777777" w:rsidTr="00E86EB5">
        <w:tc>
          <w:tcPr>
            <w:tcW w:w="1276" w:type="dxa"/>
            <w:shd w:val="clear" w:color="auto" w:fill="auto"/>
          </w:tcPr>
          <w:p w14:paraId="70D1C50C"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1.</w:t>
            </w:r>
          </w:p>
        </w:tc>
        <w:tc>
          <w:tcPr>
            <w:tcW w:w="5075" w:type="dxa"/>
            <w:shd w:val="clear" w:color="auto" w:fill="auto"/>
          </w:tcPr>
          <w:p w14:paraId="3A816102" w14:textId="77777777" w:rsidR="00CA4DD6" w:rsidRPr="00EA5998" w:rsidRDefault="00E244EC" w:rsidP="00FB1938">
            <w:pPr>
              <w:spacing w:after="120"/>
              <w:ind w:right="147"/>
              <w:jc w:val="both"/>
              <w:rPr>
                <w:b/>
                <w:i/>
                <w:color w:val="000000"/>
                <w:sz w:val="24"/>
                <w:szCs w:val="24"/>
                <w:u w:val="single"/>
                <w:lang w:val="lv-LV"/>
              </w:rPr>
            </w:pPr>
            <w:r>
              <w:rPr>
                <w:sz w:val="24"/>
                <w:szCs w:val="24"/>
                <w:lang w:val="lv-LV"/>
              </w:rPr>
              <w:t>Nolikuma 3.</w:t>
            </w:r>
            <w:r w:rsidR="00FD3644" w:rsidRPr="00EA5998">
              <w:rPr>
                <w:sz w:val="24"/>
                <w:szCs w:val="24"/>
                <w:lang w:val="lv-LV"/>
              </w:rPr>
              <w:t xml:space="preserve">pielikuma “Darba uzdevums” 6.2. punktā Inženiera personāla Projekta vadītāja pieredzi var apliecināt ar objektu, kurš nodots ekspluatācijā pēdējo piecu gadu laikā. Vai šī prasība attiecas arī uz pārējo inženiera personālu, kuram nolikumā nav norādes uz citu pieredzes gadu skaitu? Vai kā pietiekami kvalificētu un pieredzes prasībām atbilstošu var atzīt arī speciālistu, kas veicis nolikumā noteikto darbu būvuzraudzību, piemēram, pirms 20 (divdesmit) vai 30 (trīsdesmit) gadiem? </w:t>
            </w:r>
          </w:p>
        </w:tc>
        <w:tc>
          <w:tcPr>
            <w:tcW w:w="4536" w:type="dxa"/>
            <w:shd w:val="clear" w:color="auto" w:fill="auto"/>
          </w:tcPr>
          <w:p w14:paraId="1073691D" w14:textId="77777777" w:rsidR="00CA4DD6" w:rsidRPr="00EA5998" w:rsidRDefault="00E244EC" w:rsidP="004A25F7">
            <w:pPr>
              <w:spacing w:after="120"/>
              <w:jc w:val="both"/>
              <w:rPr>
                <w:color w:val="000000"/>
                <w:sz w:val="24"/>
                <w:szCs w:val="24"/>
                <w:lang w:val="lv-LV"/>
              </w:rPr>
            </w:pPr>
            <w:r>
              <w:rPr>
                <w:sz w:val="24"/>
                <w:szCs w:val="24"/>
                <w:lang w:val="lv-LV"/>
              </w:rPr>
              <w:t>Nolikuma 3.</w:t>
            </w:r>
            <w:r w:rsidR="00E86EB5" w:rsidRPr="00EA5998">
              <w:rPr>
                <w:sz w:val="24"/>
                <w:szCs w:val="24"/>
                <w:lang w:val="lv-LV"/>
              </w:rPr>
              <w:t>pielik</w:t>
            </w:r>
            <w:r>
              <w:rPr>
                <w:sz w:val="24"/>
                <w:szCs w:val="24"/>
                <w:lang w:val="lv-LV"/>
              </w:rPr>
              <w:t>uma “Darba uzdevums” 6.2.</w:t>
            </w:r>
            <w:r w:rsidR="00E86EB5" w:rsidRPr="00EA5998">
              <w:rPr>
                <w:sz w:val="24"/>
                <w:szCs w:val="24"/>
                <w:lang w:val="lv-LV"/>
              </w:rPr>
              <w:t>punktā kat</w:t>
            </w:r>
            <w:r w:rsidR="00CE52B4" w:rsidRPr="00EA5998">
              <w:rPr>
                <w:sz w:val="24"/>
                <w:szCs w:val="24"/>
                <w:lang w:val="lv-LV"/>
              </w:rPr>
              <w:t>ram Inženiera personāla speciālistam</w:t>
            </w:r>
            <w:r w:rsidR="00E86EB5" w:rsidRPr="00EA5998">
              <w:rPr>
                <w:sz w:val="24"/>
                <w:szCs w:val="24"/>
                <w:lang w:val="lv-LV"/>
              </w:rPr>
              <w:t xml:space="preserve"> ir norādītas savas pieredzes prasības</w:t>
            </w:r>
            <w:r w:rsidR="00CE52B4" w:rsidRPr="00EA5998">
              <w:rPr>
                <w:sz w:val="24"/>
                <w:szCs w:val="24"/>
                <w:lang w:val="lv-LV"/>
              </w:rPr>
              <w:t>. Speciālistiem</w:t>
            </w:r>
            <w:r w:rsidR="004A25F7" w:rsidRPr="00EA5998">
              <w:rPr>
                <w:sz w:val="24"/>
                <w:szCs w:val="24"/>
                <w:lang w:val="lv-LV"/>
              </w:rPr>
              <w:t>,</w:t>
            </w:r>
            <w:r w:rsidR="00CE52B4" w:rsidRPr="00EA5998">
              <w:rPr>
                <w:sz w:val="24"/>
                <w:szCs w:val="24"/>
                <w:lang w:val="lv-LV"/>
              </w:rPr>
              <w:t xml:space="preserve"> kuriem ir prasīta pieredze pēdējo piecu gadu laikā (piemēram, projekta vadītājam un </w:t>
            </w:r>
            <w:r w:rsidR="00CE52B4" w:rsidRPr="00EA5998">
              <w:rPr>
                <w:bCs/>
                <w:sz w:val="24"/>
                <w:szCs w:val="24"/>
                <w:lang w:val="lv-LV"/>
              </w:rPr>
              <w:t>dzelzceļa signalizācijas sistēmas speciālistam)</w:t>
            </w:r>
            <w:r w:rsidR="004A25F7" w:rsidRPr="00EA5998">
              <w:rPr>
                <w:bCs/>
                <w:sz w:val="24"/>
                <w:szCs w:val="24"/>
                <w:lang w:val="lv-LV"/>
              </w:rPr>
              <w:t>,</w:t>
            </w:r>
            <w:r w:rsidR="00CE52B4" w:rsidRPr="00EA5998">
              <w:rPr>
                <w:bCs/>
                <w:sz w:val="24"/>
                <w:szCs w:val="24"/>
                <w:lang w:val="lv-LV"/>
              </w:rPr>
              <w:t xml:space="preserve"> ir jāizpilda šī prasība, pārējiem </w:t>
            </w:r>
            <w:r w:rsidR="004A25F7" w:rsidRPr="00EA5998">
              <w:rPr>
                <w:bCs/>
                <w:sz w:val="24"/>
                <w:szCs w:val="24"/>
                <w:lang w:val="lv-LV"/>
              </w:rPr>
              <w:t>laika periods nav noteikts.</w:t>
            </w:r>
          </w:p>
        </w:tc>
      </w:tr>
      <w:tr w:rsidR="00CA4DD6" w:rsidRPr="009432D3" w14:paraId="4070B510" w14:textId="77777777" w:rsidTr="00E86EB5">
        <w:tc>
          <w:tcPr>
            <w:tcW w:w="1276" w:type="dxa"/>
            <w:shd w:val="clear" w:color="auto" w:fill="auto"/>
          </w:tcPr>
          <w:p w14:paraId="6F7962A1"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2.</w:t>
            </w:r>
          </w:p>
        </w:tc>
        <w:tc>
          <w:tcPr>
            <w:tcW w:w="5075" w:type="dxa"/>
            <w:shd w:val="clear" w:color="auto" w:fill="auto"/>
          </w:tcPr>
          <w:p w14:paraId="1EC9A470" w14:textId="77777777" w:rsidR="00CA4DD6" w:rsidRPr="00EA5998" w:rsidRDefault="004F0975"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r>
              <w:rPr>
                <w:sz w:val="24"/>
                <w:szCs w:val="24"/>
                <w:lang w:val="lv-LV"/>
              </w:rPr>
              <w:t>Nolikuma 3.</w:t>
            </w:r>
            <w:r w:rsidR="00FD3644" w:rsidRPr="00EA5998">
              <w:rPr>
                <w:sz w:val="24"/>
                <w:szCs w:val="24"/>
                <w:lang w:val="lv-LV"/>
              </w:rPr>
              <w:t>pielikuma “Darba uzdevums” 6.2. punktā Inženiera personāla Ēku būvdarbu būvuzraugam noteikta prasība vismaz 3 (trijos) objektos veicis ēku būvdarbu uzraudzību/būvuzraudzību, kuri nodoti ekspluatācijā. Ņemot vērā, ka iepirkuma priekšmets ir dzelzceļa infrastruktūras objekta uzraudzība/būvuzraudzība , lūdzam apstiprināt, ka Pasūtītājs ar šo prasību domājis dzelzceļa infrastruktūras ēku būvdarbu uzraudzību/būvuzraudzību.</w:t>
            </w:r>
          </w:p>
        </w:tc>
        <w:tc>
          <w:tcPr>
            <w:tcW w:w="4536" w:type="dxa"/>
            <w:shd w:val="clear" w:color="auto" w:fill="auto"/>
          </w:tcPr>
          <w:p w14:paraId="38B63088" w14:textId="77777777" w:rsidR="00CA4DD6" w:rsidRPr="00EA5998" w:rsidRDefault="00CE52B4" w:rsidP="004F0975">
            <w:pPr>
              <w:spacing w:after="120"/>
              <w:jc w:val="both"/>
              <w:rPr>
                <w:b/>
                <w:color w:val="000000"/>
                <w:sz w:val="24"/>
                <w:szCs w:val="24"/>
                <w:u w:val="single"/>
                <w:lang w:val="lv-LV"/>
              </w:rPr>
            </w:pPr>
            <w:r w:rsidRPr="00EA5998">
              <w:rPr>
                <w:sz w:val="24"/>
                <w:szCs w:val="24"/>
                <w:lang w:val="lv-LV"/>
              </w:rPr>
              <w:t xml:space="preserve">Ēku būvdarbu būvuzraugam pieredzes prasību izpilde var būt jebkurā </w:t>
            </w:r>
            <w:r w:rsidR="004F0975">
              <w:rPr>
                <w:sz w:val="24"/>
                <w:szCs w:val="24"/>
                <w:lang w:val="lv-LV"/>
              </w:rPr>
              <w:t>jomā</w:t>
            </w:r>
            <w:r w:rsidR="00D3547B" w:rsidRPr="00EA5998">
              <w:rPr>
                <w:sz w:val="24"/>
                <w:szCs w:val="24"/>
                <w:lang w:val="lv-LV"/>
              </w:rPr>
              <w:t>.</w:t>
            </w:r>
          </w:p>
        </w:tc>
      </w:tr>
      <w:tr w:rsidR="00CA4DD6" w:rsidRPr="009432D3" w14:paraId="3392FF13" w14:textId="77777777" w:rsidTr="00E86EB5">
        <w:tc>
          <w:tcPr>
            <w:tcW w:w="1276" w:type="dxa"/>
            <w:shd w:val="clear" w:color="auto" w:fill="auto"/>
          </w:tcPr>
          <w:p w14:paraId="3EDEF09E"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3.</w:t>
            </w:r>
          </w:p>
        </w:tc>
        <w:tc>
          <w:tcPr>
            <w:tcW w:w="5075" w:type="dxa"/>
            <w:shd w:val="clear" w:color="auto" w:fill="auto"/>
          </w:tcPr>
          <w:p w14:paraId="09C1B405" w14:textId="77777777" w:rsidR="00FD3644" w:rsidRPr="00EA5998" w:rsidRDefault="00FD3644" w:rsidP="00FD3644">
            <w:pPr>
              <w:ind w:right="5"/>
              <w:jc w:val="both"/>
              <w:rPr>
                <w:sz w:val="24"/>
                <w:szCs w:val="24"/>
                <w:lang w:val="lv-LV"/>
              </w:rPr>
            </w:pPr>
            <w:r w:rsidRPr="00EA5998">
              <w:rPr>
                <w:sz w:val="24"/>
                <w:szCs w:val="24"/>
                <w:lang w:val="lv-LV"/>
              </w:rPr>
              <w:t xml:space="preserve">Kā Pasūtītājs piedāvājuma vērtēšanas laikā pārliecināsies, ka būvuzraudzībai piedāvātie speciālisti netiek piedāvāti vienlaicīgi būvuzņēmēja piedāvājumā kā projektētāji vai būvdarbu vadītāji, lai nodrošinātu, ka būvuzraudzību veic no būvdarbu veicēja un būvprojekta izstrādātāja neatkarīgs būvkomersants vai </w:t>
            </w:r>
            <w:proofErr w:type="spellStart"/>
            <w:r w:rsidRPr="00EA5998">
              <w:rPr>
                <w:sz w:val="24"/>
                <w:szCs w:val="24"/>
                <w:lang w:val="lv-LV"/>
              </w:rPr>
              <w:t>būvspeciālists</w:t>
            </w:r>
            <w:proofErr w:type="spellEnd"/>
            <w:r w:rsidRPr="00EA5998">
              <w:rPr>
                <w:sz w:val="24"/>
                <w:szCs w:val="24"/>
                <w:lang w:val="lv-LV"/>
              </w:rPr>
              <w:t xml:space="preserve"> (būvuzraugs)?</w:t>
            </w:r>
          </w:p>
          <w:p w14:paraId="6723D664" w14:textId="77777777" w:rsidR="00CA4DD6" w:rsidRPr="00EA5998" w:rsidRDefault="00CA4DD6"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p>
        </w:tc>
        <w:tc>
          <w:tcPr>
            <w:tcW w:w="4536" w:type="dxa"/>
            <w:shd w:val="clear" w:color="auto" w:fill="auto"/>
          </w:tcPr>
          <w:p w14:paraId="64E4AB78" w14:textId="3222F6D2" w:rsidR="00CA4DD6" w:rsidRPr="00EA5998" w:rsidRDefault="002F7F25" w:rsidP="007F3A06">
            <w:pPr>
              <w:spacing w:after="120"/>
              <w:jc w:val="both"/>
              <w:rPr>
                <w:color w:val="000000"/>
                <w:sz w:val="24"/>
                <w:szCs w:val="24"/>
                <w:lang w:val="lv-LV"/>
              </w:rPr>
            </w:pPr>
            <w:r w:rsidRPr="00EA5998">
              <w:rPr>
                <w:color w:val="000000"/>
                <w:sz w:val="24"/>
                <w:szCs w:val="24"/>
                <w:lang w:val="lv-LV"/>
              </w:rPr>
              <w:t>Pa</w:t>
            </w:r>
            <w:r w:rsidR="00E244EC">
              <w:rPr>
                <w:color w:val="000000"/>
                <w:sz w:val="24"/>
                <w:szCs w:val="24"/>
                <w:lang w:val="lv-LV"/>
              </w:rPr>
              <w:t>rakstot nolikuma 2.pielikuma 5.</w:t>
            </w:r>
            <w:r w:rsidRPr="00EA5998">
              <w:rPr>
                <w:color w:val="000000"/>
                <w:sz w:val="24"/>
                <w:szCs w:val="24"/>
                <w:lang w:val="lv-LV"/>
              </w:rPr>
              <w:t xml:space="preserve">veidlapu </w:t>
            </w:r>
            <w:r w:rsidRPr="00EA5998">
              <w:rPr>
                <w:bCs/>
                <w:sz w:val="24"/>
                <w:szCs w:val="24"/>
                <w:lang w:val="lv-LV"/>
              </w:rPr>
              <w:t xml:space="preserve">(CV) </w:t>
            </w:r>
            <w:r w:rsidRPr="00EA5998">
              <w:rPr>
                <w:color w:val="000000"/>
                <w:sz w:val="24"/>
                <w:szCs w:val="24"/>
                <w:lang w:val="lv-LV"/>
              </w:rPr>
              <w:t xml:space="preserve">un iesniedzot nepieciešamo dokumentāciju piedāvājumā, katram </w:t>
            </w:r>
            <w:proofErr w:type="spellStart"/>
            <w:r w:rsidRPr="00EA5998">
              <w:rPr>
                <w:color w:val="000000"/>
                <w:sz w:val="24"/>
                <w:szCs w:val="24"/>
                <w:lang w:val="lv-LV"/>
              </w:rPr>
              <w:t>būvspeciālistam</w:t>
            </w:r>
            <w:proofErr w:type="spellEnd"/>
            <w:r w:rsidRPr="00EA5998">
              <w:rPr>
                <w:color w:val="000000"/>
                <w:sz w:val="24"/>
                <w:szCs w:val="24"/>
                <w:lang w:val="lv-LV"/>
              </w:rPr>
              <w:t xml:space="preserve"> ir pienākums </w:t>
            </w:r>
            <w:r w:rsidR="00EA7EAB" w:rsidRPr="00EA5998">
              <w:rPr>
                <w:color w:val="000000"/>
                <w:sz w:val="24"/>
                <w:szCs w:val="24"/>
                <w:lang w:val="lv-LV"/>
              </w:rPr>
              <w:t xml:space="preserve">arī nodrošināt interešu konflikta ievērošanu. </w:t>
            </w:r>
            <w:r w:rsidR="00D819AE" w:rsidRPr="00EA5998">
              <w:rPr>
                <w:color w:val="000000"/>
                <w:sz w:val="24"/>
                <w:szCs w:val="24"/>
                <w:lang w:val="lv-LV"/>
              </w:rPr>
              <w:t xml:space="preserve">Pasūtītājs piedāvājumu vērtēšanas un līguma slēgšanas laikā salīdzinās būvniecības un būvuzraudzības iepirkumos norādīto </w:t>
            </w:r>
            <w:proofErr w:type="spellStart"/>
            <w:r w:rsidR="00D819AE" w:rsidRPr="00EA5998">
              <w:rPr>
                <w:color w:val="000000"/>
                <w:sz w:val="24"/>
                <w:szCs w:val="24"/>
                <w:lang w:val="lv-LV"/>
              </w:rPr>
              <w:t>būvspeciālistu</w:t>
            </w:r>
            <w:proofErr w:type="spellEnd"/>
            <w:r w:rsidR="00D819AE" w:rsidRPr="00EA5998">
              <w:rPr>
                <w:color w:val="000000"/>
                <w:sz w:val="24"/>
                <w:szCs w:val="24"/>
                <w:lang w:val="lv-LV"/>
              </w:rPr>
              <w:t xml:space="preserve"> atbilstību.  </w:t>
            </w:r>
          </w:p>
        </w:tc>
      </w:tr>
      <w:tr w:rsidR="009432D3" w:rsidRPr="009432D3" w14:paraId="0314E07C" w14:textId="77777777" w:rsidTr="00E86EB5">
        <w:tc>
          <w:tcPr>
            <w:tcW w:w="1276" w:type="dxa"/>
            <w:shd w:val="clear" w:color="auto" w:fill="auto"/>
          </w:tcPr>
          <w:p w14:paraId="295045A2" w14:textId="77777777" w:rsidR="009432D3" w:rsidRPr="00EA5998" w:rsidRDefault="009432D3" w:rsidP="009432D3">
            <w:pPr>
              <w:spacing w:after="120"/>
              <w:ind w:right="284"/>
              <w:jc w:val="both"/>
              <w:rPr>
                <w:color w:val="000000"/>
                <w:sz w:val="24"/>
                <w:szCs w:val="24"/>
                <w:lang w:val="lv-LV"/>
              </w:rPr>
            </w:pPr>
            <w:r w:rsidRPr="00EA5998">
              <w:rPr>
                <w:color w:val="000000"/>
                <w:sz w:val="24"/>
                <w:szCs w:val="24"/>
                <w:lang w:val="lv-LV"/>
              </w:rPr>
              <w:t>4.</w:t>
            </w:r>
          </w:p>
        </w:tc>
        <w:tc>
          <w:tcPr>
            <w:tcW w:w="5075" w:type="dxa"/>
            <w:shd w:val="clear" w:color="auto" w:fill="auto"/>
          </w:tcPr>
          <w:p w14:paraId="078C2781" w14:textId="63C3E037" w:rsidR="009432D3" w:rsidRPr="00EA5998" w:rsidRDefault="009432D3" w:rsidP="009432D3">
            <w:pPr>
              <w:tabs>
                <w:tab w:val="left" w:pos="1075"/>
                <w:tab w:val="left" w:pos="1818"/>
                <w:tab w:val="left" w:pos="1890"/>
              </w:tabs>
              <w:suppressAutoHyphens/>
              <w:autoSpaceDE w:val="0"/>
              <w:spacing w:after="120"/>
              <w:jc w:val="both"/>
              <w:rPr>
                <w:b/>
                <w:i/>
                <w:color w:val="000000"/>
                <w:sz w:val="24"/>
                <w:szCs w:val="24"/>
                <w:u w:val="single"/>
                <w:lang w:val="lv-LV"/>
              </w:rPr>
            </w:pPr>
            <w:r>
              <w:rPr>
                <w:rFonts w:cs="Arial"/>
                <w:sz w:val="24"/>
                <w:szCs w:val="24"/>
                <w:lang w:val="lv-LV"/>
              </w:rPr>
              <w:t xml:space="preserve">Ņemot vērā, ka iepirkuma priekšmets ir saistīts ar uzraudzības/būvuzraudzības pakalpojumiem, kas jāveic saskaņā ar FIDIC līguma noteikumiem, lūdzam apstiprināt, ka nolikuma </w:t>
            </w:r>
            <w:bookmarkStart w:id="1" w:name="_Hlk481502997"/>
            <w:r>
              <w:rPr>
                <w:rFonts w:cs="Arial"/>
                <w:sz w:val="24"/>
                <w:szCs w:val="24"/>
                <w:lang w:val="lv-LV"/>
              </w:rPr>
              <w:t>1.pielikuma “Pretendentu atlase (izslēgšanas noteikumi, kvalifikācijas un tehniskās prasības) / piedāvājumā iekļaujamie dokumenti”</w:t>
            </w:r>
            <w:bookmarkEnd w:id="1"/>
            <w:r>
              <w:rPr>
                <w:rFonts w:cs="Arial"/>
                <w:sz w:val="24"/>
                <w:szCs w:val="24"/>
                <w:lang w:val="lv-LV"/>
              </w:rPr>
              <w:t xml:space="preserve"> 4.2.1.punktā noteiktā pieredzes prasība Pretendentam par dzelzceļa infrastruktūras būvniecības objekta uzraudzību/būvuzraudzību ir attiecināma uz līgumu, kas ticis realizēts saskaņā ar FIDIC līguma noteikumiem. </w:t>
            </w:r>
          </w:p>
        </w:tc>
        <w:tc>
          <w:tcPr>
            <w:tcW w:w="4536" w:type="dxa"/>
            <w:shd w:val="clear" w:color="auto" w:fill="auto"/>
          </w:tcPr>
          <w:p w14:paraId="29330DDF" w14:textId="77777777" w:rsidR="009432D3" w:rsidRDefault="009432D3" w:rsidP="009432D3">
            <w:pPr>
              <w:spacing w:after="120" w:line="256" w:lineRule="auto"/>
              <w:jc w:val="both"/>
              <w:rPr>
                <w:rFonts w:cs="Arial"/>
                <w:sz w:val="24"/>
                <w:szCs w:val="24"/>
                <w:lang w:val="lv-LV"/>
              </w:rPr>
            </w:pPr>
            <w:r>
              <w:rPr>
                <w:rFonts w:cs="Arial"/>
                <w:sz w:val="24"/>
                <w:szCs w:val="24"/>
                <w:lang w:val="lv-LV"/>
              </w:rPr>
              <w:t>Noteiktā pieredzes prasība Pretendentam par dzelzceļa infrastruktūras būvniecības objekta uzraudzību/būvuzraudzību ir attiecināma uz līgumu,  kas var būt realizēts saskaņā ar FIDIC līguma noteikumiem vai ar kāda cita līdzvērtīga līguma noteikumiem.</w:t>
            </w:r>
            <w:r>
              <w:rPr>
                <w:color w:val="FF0000"/>
                <w:sz w:val="24"/>
                <w:szCs w:val="24"/>
                <w:lang w:val="lv-LV"/>
              </w:rPr>
              <w:t xml:space="preserve"> </w:t>
            </w:r>
            <w:r>
              <w:rPr>
                <w:color w:val="70AD47"/>
                <w:sz w:val="24"/>
                <w:szCs w:val="24"/>
                <w:lang w:val="lv-LV"/>
              </w:rPr>
              <w:t xml:space="preserve">Proti, pasūtītājs par atbilstošu atzīs pieredzi, kas iegūta, </w:t>
            </w:r>
            <w:r>
              <w:rPr>
                <w:color w:val="70AD47"/>
                <w:sz w:val="24"/>
                <w:szCs w:val="24"/>
                <w:u w:val="single"/>
                <w:lang w:val="lv-LV"/>
              </w:rPr>
              <w:t>piemēram</w:t>
            </w:r>
            <w:r>
              <w:rPr>
                <w:color w:val="70AD47"/>
                <w:sz w:val="24"/>
                <w:szCs w:val="24"/>
                <w:lang w:val="lv-LV"/>
              </w:rPr>
              <w:t>, FIDIC vai līdzvērtīga līguma ietvaros.</w:t>
            </w:r>
            <w:r>
              <w:rPr>
                <w:rFonts w:cs="Arial"/>
                <w:sz w:val="24"/>
                <w:szCs w:val="24"/>
                <w:lang w:val="lv-LV"/>
              </w:rPr>
              <w:t xml:space="preserve"> </w:t>
            </w:r>
          </w:p>
          <w:p w14:paraId="363DFCB8" w14:textId="26A7E02E" w:rsidR="009432D3" w:rsidRPr="00EA5998" w:rsidRDefault="009432D3" w:rsidP="009432D3">
            <w:pPr>
              <w:spacing w:after="120"/>
              <w:jc w:val="both"/>
              <w:rPr>
                <w:b/>
                <w:i/>
                <w:color w:val="000000"/>
                <w:sz w:val="24"/>
                <w:szCs w:val="24"/>
                <w:u w:val="single"/>
                <w:lang w:val="lv-LV"/>
              </w:rPr>
            </w:pPr>
            <w:r>
              <w:rPr>
                <w:rFonts w:cs="Arial"/>
                <w:sz w:val="24"/>
                <w:szCs w:val="24"/>
                <w:lang w:val="lv-LV"/>
              </w:rPr>
              <w:t xml:space="preserve"> </w:t>
            </w:r>
          </w:p>
        </w:tc>
      </w:tr>
      <w:tr w:rsidR="00CA4DD6" w:rsidRPr="009432D3" w14:paraId="10647AAF" w14:textId="77777777" w:rsidTr="00E86EB5">
        <w:tc>
          <w:tcPr>
            <w:tcW w:w="1276" w:type="dxa"/>
            <w:shd w:val="clear" w:color="auto" w:fill="auto"/>
          </w:tcPr>
          <w:p w14:paraId="52F4AD04"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lastRenderedPageBreak/>
              <w:t>5.</w:t>
            </w:r>
          </w:p>
        </w:tc>
        <w:tc>
          <w:tcPr>
            <w:tcW w:w="5075" w:type="dxa"/>
            <w:shd w:val="clear" w:color="auto" w:fill="auto"/>
          </w:tcPr>
          <w:p w14:paraId="0F9E6699" w14:textId="77777777" w:rsidR="00EA5998" w:rsidRPr="00EA5998" w:rsidRDefault="00B3502B" w:rsidP="00FB1938">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 xml:space="preserve">Lūdzam apstiprināt to, ka nolikuma </w:t>
            </w:r>
            <w:bookmarkStart w:id="2" w:name="_Hlk481505733"/>
            <w:r w:rsidR="004206EC">
              <w:rPr>
                <w:rFonts w:cs="Arial"/>
                <w:sz w:val="24"/>
                <w:szCs w:val="24"/>
                <w:lang w:val="lv-LV"/>
              </w:rPr>
              <w:t>1.</w:t>
            </w:r>
            <w:r w:rsidRPr="00EA5998">
              <w:rPr>
                <w:rFonts w:cs="Arial"/>
                <w:sz w:val="24"/>
                <w:szCs w:val="24"/>
                <w:lang w:val="lv-LV"/>
              </w:rPr>
              <w:t xml:space="preserve">pielikuma “Pretendentu atlase (izslēgšanas noteikumi, kvalifikācijas un tehniskās prasības) / piedāvājumā iekļaujamie dokumenti”  </w:t>
            </w:r>
            <w:bookmarkEnd w:id="2"/>
            <w:r w:rsidR="00277D7E">
              <w:rPr>
                <w:rFonts w:cs="Arial"/>
                <w:sz w:val="24"/>
                <w:szCs w:val="24"/>
                <w:lang w:val="lv-LV"/>
              </w:rPr>
              <w:t>4.2.1</w:t>
            </w:r>
            <w:r w:rsidR="00627BC5">
              <w:rPr>
                <w:rFonts w:cs="Arial"/>
                <w:sz w:val="24"/>
                <w:szCs w:val="24"/>
                <w:lang w:val="lv-LV"/>
              </w:rPr>
              <w:t>.punktā minētā summa – vismaz 15</w:t>
            </w:r>
            <w:r w:rsidRPr="00EA5998">
              <w:rPr>
                <w:rFonts w:cs="Arial"/>
                <w:sz w:val="24"/>
                <w:szCs w:val="24"/>
                <w:lang w:val="lv-LV"/>
              </w:rPr>
              <w:t> 000 000 EUR (</w:t>
            </w:r>
            <w:r w:rsidR="00627BC5">
              <w:rPr>
                <w:rFonts w:cs="Arial"/>
                <w:sz w:val="24"/>
                <w:szCs w:val="24"/>
                <w:lang w:val="lv-LV"/>
              </w:rPr>
              <w:t>piecpadsmit</w:t>
            </w:r>
            <w:r w:rsidR="00277D7E">
              <w:rPr>
                <w:rFonts w:cs="Arial"/>
                <w:sz w:val="24"/>
                <w:szCs w:val="24"/>
                <w:lang w:val="lv-LV"/>
              </w:rPr>
              <w:t xml:space="preserve"> </w:t>
            </w:r>
            <w:r w:rsidRPr="00EA5998">
              <w:rPr>
                <w:rFonts w:cs="Arial"/>
                <w:sz w:val="24"/>
                <w:szCs w:val="24"/>
                <w:lang w:val="lv-LV"/>
              </w:rPr>
              <w:t xml:space="preserve">miljoni </w:t>
            </w:r>
            <w:proofErr w:type="spellStart"/>
            <w:r w:rsidRPr="00EA5998">
              <w:rPr>
                <w:rFonts w:cs="Arial"/>
                <w:i/>
                <w:sz w:val="24"/>
                <w:szCs w:val="24"/>
                <w:lang w:val="lv-LV"/>
              </w:rPr>
              <w:t>euro</w:t>
            </w:r>
            <w:proofErr w:type="spellEnd"/>
            <w:r w:rsidRPr="00EA5998">
              <w:rPr>
                <w:rFonts w:cs="Arial"/>
                <w:sz w:val="24"/>
                <w:szCs w:val="24"/>
                <w:lang w:val="lv-LV"/>
              </w:rPr>
              <w:t xml:space="preserve">) – ir norādīta </w:t>
            </w:r>
            <w:r w:rsidRPr="00EA5998">
              <w:rPr>
                <w:rFonts w:cs="Arial"/>
                <w:b/>
                <w:sz w:val="24"/>
                <w:szCs w:val="24"/>
                <w:lang w:val="lv-LV"/>
              </w:rPr>
              <w:t>bez</w:t>
            </w:r>
            <w:r w:rsidRPr="00EA5998">
              <w:rPr>
                <w:rFonts w:cs="Arial"/>
                <w:sz w:val="24"/>
                <w:szCs w:val="24"/>
                <w:lang w:val="lv-LV"/>
              </w:rPr>
              <w:t xml:space="preserve"> pievienotās vērtības nodokļa.</w:t>
            </w:r>
          </w:p>
        </w:tc>
        <w:tc>
          <w:tcPr>
            <w:tcW w:w="4536" w:type="dxa"/>
            <w:shd w:val="clear" w:color="auto" w:fill="auto"/>
          </w:tcPr>
          <w:p w14:paraId="4AD2B487" w14:textId="77777777" w:rsidR="00CA4DD6" w:rsidRPr="00EA5998" w:rsidRDefault="00242474" w:rsidP="008A6F71">
            <w:pPr>
              <w:spacing w:after="120"/>
              <w:ind w:right="284"/>
              <w:jc w:val="both"/>
              <w:rPr>
                <w:i/>
                <w:color w:val="000000"/>
                <w:sz w:val="24"/>
                <w:szCs w:val="24"/>
                <w:u w:val="single"/>
                <w:lang w:val="lv-LV"/>
              </w:rPr>
            </w:pPr>
            <w:r w:rsidRPr="00EA5998">
              <w:rPr>
                <w:rFonts w:cs="Arial"/>
                <w:sz w:val="24"/>
                <w:szCs w:val="24"/>
                <w:lang w:val="lv-LV"/>
              </w:rPr>
              <w:t>M</w:t>
            </w:r>
            <w:r w:rsidR="001B75C3" w:rsidRPr="00EA5998">
              <w:rPr>
                <w:rFonts w:cs="Arial"/>
                <w:sz w:val="24"/>
                <w:szCs w:val="24"/>
                <w:lang w:val="lv-LV"/>
              </w:rPr>
              <w:t xml:space="preserve">inētā summa – vismaz </w:t>
            </w:r>
            <w:r w:rsidR="00627BC5">
              <w:rPr>
                <w:rFonts w:cs="Arial"/>
                <w:sz w:val="24"/>
                <w:szCs w:val="24"/>
                <w:lang w:val="lv-LV"/>
              </w:rPr>
              <w:t>15</w:t>
            </w:r>
            <w:r w:rsidR="00627BC5" w:rsidRPr="00EA5998">
              <w:rPr>
                <w:rFonts w:cs="Arial"/>
                <w:sz w:val="24"/>
                <w:szCs w:val="24"/>
                <w:lang w:val="lv-LV"/>
              </w:rPr>
              <w:t> 000 000 EUR (</w:t>
            </w:r>
            <w:r w:rsidR="00627BC5">
              <w:rPr>
                <w:rFonts w:cs="Arial"/>
                <w:sz w:val="24"/>
                <w:szCs w:val="24"/>
                <w:lang w:val="lv-LV"/>
              </w:rPr>
              <w:t xml:space="preserve">piecpadsmit </w:t>
            </w:r>
            <w:r w:rsidR="00627BC5" w:rsidRPr="00EA5998">
              <w:rPr>
                <w:rFonts w:cs="Arial"/>
                <w:sz w:val="24"/>
                <w:szCs w:val="24"/>
                <w:lang w:val="lv-LV"/>
              </w:rPr>
              <w:t xml:space="preserve">miljoni </w:t>
            </w:r>
            <w:proofErr w:type="spellStart"/>
            <w:r w:rsidR="00627BC5" w:rsidRPr="00EA5998">
              <w:rPr>
                <w:rFonts w:cs="Arial"/>
                <w:i/>
                <w:sz w:val="24"/>
                <w:szCs w:val="24"/>
                <w:lang w:val="lv-LV"/>
              </w:rPr>
              <w:t>euro</w:t>
            </w:r>
            <w:proofErr w:type="spellEnd"/>
            <w:r w:rsidR="00627BC5" w:rsidRPr="00EA5998">
              <w:rPr>
                <w:rFonts w:cs="Arial"/>
                <w:sz w:val="24"/>
                <w:szCs w:val="24"/>
                <w:lang w:val="lv-LV"/>
              </w:rPr>
              <w:t>)</w:t>
            </w:r>
            <w:r w:rsidR="00627BC5">
              <w:rPr>
                <w:rFonts w:cs="Arial"/>
                <w:sz w:val="24"/>
                <w:szCs w:val="24"/>
                <w:lang w:val="lv-LV"/>
              </w:rPr>
              <w:t xml:space="preserve"> </w:t>
            </w:r>
            <w:r w:rsidR="001B75C3" w:rsidRPr="00EA5998">
              <w:rPr>
                <w:rFonts w:cs="Arial"/>
                <w:sz w:val="24"/>
                <w:szCs w:val="24"/>
                <w:lang w:val="lv-LV"/>
              </w:rPr>
              <w:t xml:space="preserve">– ir norādīta </w:t>
            </w:r>
            <w:r w:rsidR="001B75C3" w:rsidRPr="004206EC">
              <w:rPr>
                <w:rFonts w:cs="Arial"/>
                <w:b/>
                <w:sz w:val="24"/>
                <w:szCs w:val="24"/>
                <w:u w:val="single"/>
                <w:lang w:val="lv-LV"/>
              </w:rPr>
              <w:t xml:space="preserve">bez </w:t>
            </w:r>
            <w:r w:rsidR="001B75C3" w:rsidRPr="00EA5998">
              <w:rPr>
                <w:rFonts w:cs="Arial"/>
                <w:sz w:val="24"/>
                <w:szCs w:val="24"/>
                <w:lang w:val="lv-LV"/>
              </w:rPr>
              <w:t>pievienotās vērtības nodokļa.</w:t>
            </w:r>
          </w:p>
        </w:tc>
      </w:tr>
      <w:tr w:rsidR="00CA4DD6" w:rsidRPr="009432D3" w14:paraId="4B54FDEF" w14:textId="77777777" w:rsidTr="00E86EB5">
        <w:tc>
          <w:tcPr>
            <w:tcW w:w="1276" w:type="dxa"/>
            <w:shd w:val="clear" w:color="auto" w:fill="auto"/>
          </w:tcPr>
          <w:p w14:paraId="79C344AB"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6.</w:t>
            </w:r>
          </w:p>
        </w:tc>
        <w:tc>
          <w:tcPr>
            <w:tcW w:w="5075" w:type="dxa"/>
            <w:shd w:val="clear" w:color="auto" w:fill="auto"/>
          </w:tcPr>
          <w:p w14:paraId="532E3DB2" w14:textId="77777777" w:rsidR="00EA5998" w:rsidRPr="00EA5998" w:rsidRDefault="00B3502B" w:rsidP="00FB1938">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Ņemot vērā, ka iepirkuma priekšmets ir saistīts ar uzraudzības/būvuzraudzības pakalpojumiem, lūd</w:t>
            </w:r>
            <w:r w:rsidR="00D14DAB">
              <w:rPr>
                <w:rFonts w:cs="Arial"/>
                <w:sz w:val="24"/>
                <w:szCs w:val="24"/>
                <w:lang w:val="lv-LV"/>
              </w:rPr>
              <w:t>zam apstiprināt, ka nolikuma 1.</w:t>
            </w:r>
            <w:r w:rsidRPr="00EA5998">
              <w:rPr>
                <w:rFonts w:cs="Arial"/>
                <w:sz w:val="24"/>
                <w:szCs w:val="24"/>
                <w:lang w:val="lv-LV"/>
              </w:rPr>
              <w:t>pielikuma “Pretendentu atlase (izslēgšanas noteikumi, kvalifikācijas un tehniskās prasības) / piedāvājumā iekļaujamie dokumenti”</w:t>
            </w:r>
            <w:r w:rsidR="00277D7E">
              <w:rPr>
                <w:rFonts w:cs="Arial"/>
                <w:sz w:val="24"/>
                <w:szCs w:val="24"/>
                <w:lang w:val="lv-LV"/>
              </w:rPr>
              <w:t xml:space="preserve">  4.2.2.</w:t>
            </w:r>
            <w:r w:rsidRPr="00EA5998">
              <w:rPr>
                <w:rFonts w:cs="Arial"/>
                <w:sz w:val="24"/>
                <w:szCs w:val="24"/>
                <w:lang w:val="lv-LV"/>
              </w:rPr>
              <w:t xml:space="preserve">punktā noteiktais vidējais finanšu apgrozījums (neto apgrozījums) attiecināms tikai uz finanšu apgrozījumu būvuzraudzības jomā? </w:t>
            </w:r>
          </w:p>
        </w:tc>
        <w:tc>
          <w:tcPr>
            <w:tcW w:w="4536" w:type="dxa"/>
            <w:shd w:val="clear" w:color="auto" w:fill="auto"/>
          </w:tcPr>
          <w:p w14:paraId="3001ACF5" w14:textId="77777777" w:rsidR="00CA4DD6" w:rsidRPr="00EA5998" w:rsidRDefault="00734B5A" w:rsidP="00585936">
            <w:pPr>
              <w:spacing w:after="120"/>
              <w:ind w:right="284"/>
              <w:jc w:val="both"/>
              <w:rPr>
                <w:color w:val="000000"/>
                <w:sz w:val="24"/>
                <w:szCs w:val="24"/>
                <w:lang w:val="lv-LV"/>
              </w:rPr>
            </w:pPr>
            <w:r w:rsidRPr="00EA5998">
              <w:rPr>
                <w:color w:val="000000"/>
                <w:sz w:val="24"/>
                <w:szCs w:val="24"/>
                <w:lang w:val="lv-LV"/>
              </w:rPr>
              <w:t xml:space="preserve">Finanšu apgrozījums var būt jebkurā </w:t>
            </w:r>
            <w:r w:rsidR="00585936">
              <w:rPr>
                <w:color w:val="000000"/>
                <w:sz w:val="24"/>
                <w:szCs w:val="24"/>
                <w:lang w:val="lv-LV"/>
              </w:rPr>
              <w:t>jomā</w:t>
            </w:r>
            <w:r w:rsidRPr="00EA5998">
              <w:rPr>
                <w:color w:val="000000"/>
                <w:sz w:val="24"/>
                <w:szCs w:val="24"/>
                <w:lang w:val="lv-LV"/>
              </w:rPr>
              <w:t xml:space="preserve">. </w:t>
            </w:r>
          </w:p>
        </w:tc>
      </w:tr>
      <w:tr w:rsidR="00B3502B" w:rsidRPr="009432D3" w14:paraId="3743F99C" w14:textId="77777777" w:rsidTr="00E86EB5">
        <w:tc>
          <w:tcPr>
            <w:tcW w:w="1276" w:type="dxa"/>
            <w:shd w:val="clear" w:color="auto" w:fill="auto"/>
          </w:tcPr>
          <w:p w14:paraId="169E85E1" w14:textId="77777777"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t>7.</w:t>
            </w:r>
          </w:p>
        </w:tc>
        <w:tc>
          <w:tcPr>
            <w:tcW w:w="5075" w:type="dxa"/>
            <w:shd w:val="clear" w:color="auto" w:fill="auto"/>
          </w:tcPr>
          <w:p w14:paraId="5A82CA39" w14:textId="77777777" w:rsidR="00B3502B" w:rsidRPr="00627BC5" w:rsidRDefault="00D14DAB" w:rsidP="00FB1938">
            <w:pPr>
              <w:tabs>
                <w:tab w:val="left" w:pos="1075"/>
                <w:tab w:val="left" w:pos="1818"/>
                <w:tab w:val="left" w:pos="1890"/>
              </w:tabs>
              <w:suppressAutoHyphens/>
              <w:autoSpaceDE w:val="0"/>
              <w:spacing w:after="120"/>
              <w:jc w:val="both"/>
              <w:rPr>
                <w:rFonts w:cs="Arial"/>
                <w:sz w:val="24"/>
                <w:szCs w:val="24"/>
                <w:lang w:val="lv-LV"/>
              </w:rPr>
            </w:pPr>
            <w:r w:rsidRPr="00627BC5">
              <w:rPr>
                <w:rFonts w:cs="Arial"/>
                <w:sz w:val="24"/>
                <w:szCs w:val="24"/>
                <w:lang w:val="lv-LV"/>
              </w:rPr>
              <w:t>Nolikuma 3.</w:t>
            </w:r>
            <w:r w:rsidR="00B3502B" w:rsidRPr="00627BC5">
              <w:rPr>
                <w:rFonts w:cs="Arial"/>
                <w:sz w:val="24"/>
                <w:szCs w:val="24"/>
                <w:lang w:val="lv-LV"/>
              </w:rPr>
              <w:t>pielikuma “Darba uzdevums” 6.2. punktā Inženiera sekojošam personālam:</w:t>
            </w:r>
          </w:p>
          <w:p w14:paraId="6694E377" w14:textId="77777777" w:rsidR="00B3502B" w:rsidRPr="00627BC5" w:rsidRDefault="00B3502B"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bookmarkStart w:id="3" w:name="_Hlk481578787"/>
            <w:r w:rsidRPr="00627BC5">
              <w:rPr>
                <w:rFonts w:cs="Arial"/>
                <w:sz w:val="24"/>
                <w:szCs w:val="24"/>
                <w:lang w:val="lv-LV"/>
              </w:rPr>
              <w:t>Dzelzceļa sliežu ceļu būvdarbu būvu</w:t>
            </w:r>
            <w:r w:rsidR="00627BC5">
              <w:rPr>
                <w:rFonts w:cs="Arial"/>
                <w:sz w:val="24"/>
                <w:szCs w:val="24"/>
                <w:lang w:val="lv-LV"/>
              </w:rPr>
              <w:t>zraugs - atbildīgais būvuzraugs;</w:t>
            </w:r>
          </w:p>
          <w:bookmarkEnd w:id="3"/>
          <w:p w14:paraId="78E7489C"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Dzelzceļa signalizācijas sistēmu būvdarbu būvuzraugs</w:t>
            </w:r>
            <w:r>
              <w:rPr>
                <w:rFonts w:eastAsia="Calibri"/>
                <w:sz w:val="24"/>
                <w:szCs w:val="24"/>
                <w:lang w:val="lv-LV"/>
              </w:rPr>
              <w:t>;</w:t>
            </w:r>
          </w:p>
          <w:p w14:paraId="5BD97697"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Uzkalna vadības sistēmu speciālists</w:t>
            </w:r>
            <w:r>
              <w:rPr>
                <w:rFonts w:eastAsia="Calibri"/>
                <w:sz w:val="24"/>
                <w:szCs w:val="24"/>
                <w:lang w:val="lv-LV"/>
              </w:rPr>
              <w:t>;</w:t>
            </w:r>
          </w:p>
          <w:p w14:paraId="40A76AAD"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cs="Arial"/>
                <w:sz w:val="24"/>
                <w:szCs w:val="24"/>
                <w:lang w:val="lv-LV"/>
              </w:rPr>
              <w:t>Elektronisko sakaru sistēmu un tīklu būvdarbu būvuzraugs;</w:t>
            </w:r>
          </w:p>
          <w:p w14:paraId="71B4574C"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cs="Arial"/>
                <w:sz w:val="24"/>
                <w:szCs w:val="24"/>
                <w:lang w:val="lv-LV"/>
              </w:rPr>
              <w:t>Elektroietaišu  būvdarbu būvuzraugs;</w:t>
            </w:r>
          </w:p>
          <w:p w14:paraId="2E85E064"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cs="Arial"/>
                <w:sz w:val="24"/>
                <w:szCs w:val="24"/>
                <w:lang w:val="lv-LV"/>
              </w:rPr>
              <w:t>Ēku būvdarbu būvuzraugs;</w:t>
            </w:r>
          </w:p>
          <w:p w14:paraId="60FE37D0"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cs="Arial"/>
                <w:sz w:val="24"/>
                <w:szCs w:val="24"/>
                <w:lang w:val="lv-LV"/>
              </w:rPr>
              <w:t>Ūdens apgādes un kanalizācijas būvdarbu būvuzraugs;</w:t>
            </w:r>
          </w:p>
          <w:p w14:paraId="13B01E73"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Ceļu būvdarbu būvuzraugs</w:t>
            </w:r>
            <w:r>
              <w:rPr>
                <w:rFonts w:eastAsia="Calibri"/>
                <w:sz w:val="24"/>
                <w:szCs w:val="24"/>
                <w:lang w:val="lv-LV"/>
              </w:rPr>
              <w:t>;</w:t>
            </w:r>
          </w:p>
          <w:p w14:paraId="668CED3A"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Sadales un lietotāju gāzes apgādes sistēmu būvdarbu būvuzraugs</w:t>
            </w:r>
            <w:r>
              <w:rPr>
                <w:rFonts w:eastAsia="Calibri"/>
                <w:sz w:val="24"/>
                <w:szCs w:val="24"/>
                <w:lang w:val="lv-LV"/>
              </w:rPr>
              <w:t>;</w:t>
            </w:r>
          </w:p>
          <w:p w14:paraId="4775C6E7"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Siltumapgādes, ventilācijas un gaisa kondicionēšanas sistēmu būvdarbu būvuzraugs</w:t>
            </w:r>
            <w:r>
              <w:rPr>
                <w:rFonts w:eastAsia="Calibri"/>
                <w:sz w:val="24"/>
                <w:szCs w:val="24"/>
                <w:lang w:val="lv-LV"/>
              </w:rPr>
              <w:t>;</w:t>
            </w:r>
          </w:p>
          <w:p w14:paraId="0C5C56ED" w14:textId="77777777" w:rsidR="00627BC5" w:rsidRPr="00627BC5" w:rsidRDefault="00627BC5" w:rsidP="00FB1938">
            <w:pPr>
              <w:numPr>
                <w:ilvl w:val="1"/>
                <w:numId w:val="1"/>
              </w:numPr>
              <w:tabs>
                <w:tab w:val="left" w:pos="1075"/>
                <w:tab w:val="left" w:pos="1818"/>
                <w:tab w:val="left" w:pos="1890"/>
              </w:tabs>
              <w:suppressAutoHyphens/>
              <w:autoSpaceDE w:val="0"/>
              <w:spacing w:after="120"/>
              <w:ind w:left="0" w:firstLine="0"/>
              <w:jc w:val="both"/>
              <w:rPr>
                <w:rFonts w:cs="Arial"/>
                <w:sz w:val="24"/>
                <w:szCs w:val="24"/>
                <w:lang w:val="lv-LV"/>
              </w:rPr>
            </w:pPr>
            <w:r w:rsidRPr="00627BC5">
              <w:rPr>
                <w:rFonts w:eastAsia="Calibri"/>
                <w:sz w:val="24"/>
                <w:szCs w:val="24"/>
                <w:lang w:val="lv-LV"/>
              </w:rPr>
              <w:t>Vides specialists</w:t>
            </w:r>
          </w:p>
          <w:p w14:paraId="4D7F6EC1" w14:textId="77777777" w:rsidR="00B3502B" w:rsidRPr="00627BC5" w:rsidRDefault="00B3502B" w:rsidP="00FB1938">
            <w:pPr>
              <w:tabs>
                <w:tab w:val="left" w:pos="34"/>
                <w:tab w:val="left" w:pos="1818"/>
                <w:tab w:val="left" w:pos="1890"/>
              </w:tabs>
              <w:suppressAutoHyphens/>
              <w:autoSpaceDE w:val="0"/>
              <w:spacing w:after="120"/>
              <w:jc w:val="both"/>
              <w:rPr>
                <w:rFonts w:cs="Arial"/>
                <w:sz w:val="24"/>
                <w:szCs w:val="24"/>
                <w:lang w:val="lv-LV"/>
              </w:rPr>
            </w:pPr>
            <w:r w:rsidRPr="00627BC5">
              <w:rPr>
                <w:rFonts w:cs="Arial"/>
                <w:sz w:val="24"/>
                <w:szCs w:val="24"/>
                <w:lang w:val="lv-LV"/>
              </w:rPr>
              <w:t>noteikta prasība par konkrēto darbu uzraudzības un / vai būvuzraudzības veikšanu. Lūdzam  apstiprināt, ka speciālistu pieredzei jābūt gūtai, veicot darbu uzraudzību un/vai būvuzraudzību kā</w:t>
            </w:r>
            <w:r w:rsidRPr="00627BC5">
              <w:rPr>
                <w:rFonts w:cs="Arial"/>
                <w:b/>
                <w:sz w:val="24"/>
                <w:szCs w:val="24"/>
                <w:lang w:val="lv-LV"/>
              </w:rPr>
              <w:t xml:space="preserve"> Izpildītāja </w:t>
            </w:r>
            <w:r w:rsidRPr="00627BC5">
              <w:rPr>
                <w:rFonts w:cs="Arial"/>
                <w:sz w:val="24"/>
                <w:szCs w:val="24"/>
                <w:lang w:val="lv-LV"/>
              </w:rPr>
              <w:t>speciālistam.</w:t>
            </w:r>
          </w:p>
        </w:tc>
        <w:tc>
          <w:tcPr>
            <w:tcW w:w="4536" w:type="dxa"/>
            <w:shd w:val="clear" w:color="auto" w:fill="auto"/>
          </w:tcPr>
          <w:p w14:paraId="2CC8C5D8" w14:textId="77777777" w:rsidR="00021D79" w:rsidRPr="00096912" w:rsidRDefault="00ED1817" w:rsidP="00021D79">
            <w:pPr>
              <w:tabs>
                <w:tab w:val="left" w:pos="1075"/>
                <w:tab w:val="left" w:pos="1818"/>
                <w:tab w:val="left" w:pos="1890"/>
              </w:tabs>
              <w:suppressAutoHyphens/>
              <w:autoSpaceDE w:val="0"/>
              <w:jc w:val="both"/>
              <w:rPr>
                <w:rFonts w:cs="Arial"/>
                <w:sz w:val="24"/>
                <w:szCs w:val="24"/>
                <w:lang w:val="lv-LV"/>
              </w:rPr>
            </w:pPr>
            <w:r w:rsidRPr="00096912">
              <w:rPr>
                <w:rFonts w:cs="Arial"/>
                <w:sz w:val="24"/>
                <w:szCs w:val="24"/>
                <w:lang w:val="lv-LV"/>
              </w:rPr>
              <w:t xml:space="preserve">Šāds apstiprinājums netiek sniegts. </w:t>
            </w:r>
          </w:p>
          <w:p w14:paraId="2D5AC03E" w14:textId="77777777" w:rsidR="00021D79" w:rsidRPr="00096912" w:rsidRDefault="00021D79" w:rsidP="00021D79">
            <w:pPr>
              <w:tabs>
                <w:tab w:val="left" w:pos="1075"/>
                <w:tab w:val="left" w:pos="1818"/>
                <w:tab w:val="left" w:pos="1890"/>
              </w:tabs>
              <w:suppressAutoHyphens/>
              <w:autoSpaceDE w:val="0"/>
              <w:jc w:val="both"/>
              <w:rPr>
                <w:rFonts w:cs="Arial"/>
                <w:sz w:val="24"/>
                <w:szCs w:val="24"/>
                <w:lang w:val="lv-LV"/>
              </w:rPr>
            </w:pPr>
          </w:p>
          <w:p w14:paraId="1664E222" w14:textId="0263A0C6" w:rsidR="008E32C5" w:rsidRPr="00096912" w:rsidRDefault="00FB1938" w:rsidP="00C80C14">
            <w:pPr>
              <w:tabs>
                <w:tab w:val="left" w:pos="1075"/>
                <w:tab w:val="left" w:pos="1818"/>
                <w:tab w:val="left" w:pos="1890"/>
              </w:tabs>
              <w:suppressAutoHyphens/>
              <w:autoSpaceDE w:val="0"/>
              <w:jc w:val="both"/>
              <w:rPr>
                <w:i/>
                <w:color w:val="000000"/>
                <w:sz w:val="24"/>
                <w:szCs w:val="24"/>
                <w:lang w:val="lv-LV"/>
              </w:rPr>
            </w:pPr>
            <w:r w:rsidRPr="00096912">
              <w:rPr>
                <w:rFonts w:cs="Arial"/>
                <w:sz w:val="24"/>
                <w:szCs w:val="24"/>
                <w:lang w:val="lv-LV"/>
              </w:rPr>
              <w:t>Nolikuma 3.</w:t>
            </w:r>
            <w:r w:rsidR="00D14DAB" w:rsidRPr="00096912">
              <w:rPr>
                <w:rFonts w:cs="Arial"/>
                <w:sz w:val="24"/>
                <w:szCs w:val="24"/>
                <w:lang w:val="lv-LV"/>
              </w:rPr>
              <w:t>pielikuma “Darba uzdevums” 6.2.</w:t>
            </w:r>
            <w:r w:rsidR="00021D79" w:rsidRPr="00096912">
              <w:rPr>
                <w:rFonts w:cs="Arial"/>
                <w:sz w:val="24"/>
                <w:szCs w:val="24"/>
                <w:lang w:val="lv-LV"/>
              </w:rPr>
              <w:t>punktā netiek noteikts Inženiera personāla speciālistu darbu uzraudzības un/vai būvuzraudzības pieredzes iegūšanas veids</w:t>
            </w:r>
            <w:r w:rsidR="00C80C14" w:rsidRPr="00096912">
              <w:rPr>
                <w:rFonts w:cs="Arial"/>
                <w:sz w:val="24"/>
                <w:szCs w:val="24"/>
                <w:lang w:val="lv-LV"/>
              </w:rPr>
              <w:t>, t.i., s</w:t>
            </w:r>
            <w:r w:rsidR="003567C0" w:rsidRPr="00096912">
              <w:rPr>
                <w:rFonts w:cs="Arial"/>
                <w:sz w:val="24"/>
                <w:szCs w:val="24"/>
                <w:lang w:val="lv-LV"/>
              </w:rPr>
              <w:t>peciālistu</w:t>
            </w:r>
            <w:r w:rsidR="00C80C14" w:rsidRPr="00096912">
              <w:rPr>
                <w:rFonts w:cs="Arial"/>
                <w:sz w:val="24"/>
                <w:szCs w:val="24"/>
                <w:lang w:val="lv-LV"/>
              </w:rPr>
              <w:t xml:space="preserve"> </w:t>
            </w:r>
            <w:r w:rsidR="003567C0" w:rsidRPr="00096912">
              <w:rPr>
                <w:rFonts w:cs="Arial"/>
                <w:sz w:val="24"/>
                <w:szCs w:val="24"/>
                <w:lang w:val="lv-LV"/>
              </w:rPr>
              <w:t xml:space="preserve">pieredze </w:t>
            </w:r>
            <w:r w:rsidR="00C80C14" w:rsidRPr="00096912">
              <w:rPr>
                <w:rFonts w:cs="Arial"/>
                <w:sz w:val="24"/>
                <w:szCs w:val="24"/>
                <w:lang w:val="lv-LV"/>
              </w:rPr>
              <w:t>var ne</w:t>
            </w:r>
            <w:r w:rsidR="003567C0" w:rsidRPr="00096912">
              <w:rPr>
                <w:rFonts w:cs="Arial"/>
                <w:sz w:val="24"/>
                <w:szCs w:val="24"/>
                <w:lang w:val="lv-LV"/>
              </w:rPr>
              <w:t>būt gūta, veicot darbu uzraudzību un/vai būvuzraudzību kā</w:t>
            </w:r>
            <w:r w:rsidR="003567C0" w:rsidRPr="00096912">
              <w:rPr>
                <w:rFonts w:cs="Arial"/>
                <w:b/>
                <w:sz w:val="24"/>
                <w:szCs w:val="24"/>
                <w:lang w:val="lv-LV"/>
              </w:rPr>
              <w:t xml:space="preserve"> Izpildītāja </w:t>
            </w:r>
            <w:r w:rsidR="003567C0" w:rsidRPr="00096912">
              <w:rPr>
                <w:rFonts w:cs="Arial"/>
                <w:sz w:val="24"/>
                <w:szCs w:val="24"/>
                <w:lang w:val="lv-LV"/>
              </w:rPr>
              <w:t>speciālistam.</w:t>
            </w:r>
          </w:p>
        </w:tc>
      </w:tr>
      <w:tr w:rsidR="00B3502B" w:rsidRPr="003012F7" w14:paraId="178C6993" w14:textId="77777777" w:rsidTr="00E86EB5">
        <w:tc>
          <w:tcPr>
            <w:tcW w:w="1276" w:type="dxa"/>
            <w:shd w:val="clear" w:color="auto" w:fill="auto"/>
          </w:tcPr>
          <w:p w14:paraId="45CBA58C" w14:textId="77777777"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t>8.</w:t>
            </w:r>
          </w:p>
        </w:tc>
        <w:tc>
          <w:tcPr>
            <w:tcW w:w="5075" w:type="dxa"/>
            <w:shd w:val="clear" w:color="auto" w:fill="auto"/>
          </w:tcPr>
          <w:p w14:paraId="309AB777" w14:textId="77777777" w:rsidR="00B3502B" w:rsidRPr="007A328E" w:rsidRDefault="00D14DAB" w:rsidP="00FB1938">
            <w:pPr>
              <w:tabs>
                <w:tab w:val="left" w:pos="1075"/>
                <w:tab w:val="left" w:pos="1818"/>
                <w:tab w:val="left" w:pos="1890"/>
              </w:tabs>
              <w:suppressAutoHyphens/>
              <w:autoSpaceDE w:val="0"/>
              <w:spacing w:after="120"/>
              <w:jc w:val="both"/>
              <w:rPr>
                <w:rFonts w:cs="Arial"/>
                <w:sz w:val="24"/>
                <w:szCs w:val="24"/>
                <w:lang w:val="lv-LV"/>
              </w:rPr>
            </w:pPr>
            <w:r w:rsidRPr="007A328E">
              <w:rPr>
                <w:rFonts w:cs="Arial"/>
                <w:sz w:val="24"/>
                <w:szCs w:val="24"/>
                <w:lang w:val="lv-LV"/>
              </w:rPr>
              <w:t>Nolikuma 6.8.</w:t>
            </w:r>
            <w:r w:rsidR="00B3502B" w:rsidRPr="007A328E">
              <w:rPr>
                <w:rFonts w:cs="Arial"/>
                <w:sz w:val="24"/>
                <w:szCs w:val="24"/>
                <w:lang w:val="lv-LV"/>
              </w:rPr>
              <w:t xml:space="preserve">punktā noteikts līguma nodrošinājuma spēkā esamības termiņš līdz līguma saistību pilnīgai izpildei vai vismaz 30 kalendārās </w:t>
            </w:r>
            <w:r w:rsidR="00B3502B" w:rsidRPr="007A328E">
              <w:rPr>
                <w:rFonts w:cs="Arial"/>
                <w:sz w:val="24"/>
                <w:szCs w:val="24"/>
                <w:lang w:val="lv-LV"/>
              </w:rPr>
              <w:lastRenderedPageBreak/>
              <w:t>dienas pēc pakalpojuma galīgās izpildes</w:t>
            </w:r>
            <w:r w:rsidRPr="007A328E">
              <w:rPr>
                <w:rFonts w:cs="Arial"/>
                <w:sz w:val="24"/>
                <w:szCs w:val="24"/>
                <w:lang w:val="lv-LV"/>
              </w:rPr>
              <w:t xml:space="preserve"> brīža. Saskaņā ar nolikuma 2.4.p</w:t>
            </w:r>
            <w:r w:rsidR="00B3502B" w:rsidRPr="007A328E">
              <w:rPr>
                <w:rFonts w:cs="Arial"/>
                <w:sz w:val="24"/>
                <w:szCs w:val="24"/>
                <w:lang w:val="lv-LV"/>
              </w:rPr>
              <w:t xml:space="preserve">unktu tas ir 60 mēneši no līguma parakstīšanas dienas. Minētais 60  mēnešu periods sevī ietver gan darbu (t.sk. projektēšanas un būvdarbu) izpildi - 36 mēneši, gan arī defektu paziņošanas periodu - 24 mēneši. Ņemot vērā to, ka viss darba apjoms tiks paveikts darbu izpildes periodā, kā arī šajā laikā tiks apgūta visa līguma summa, </w:t>
            </w:r>
            <w:r w:rsidRPr="007A328E">
              <w:rPr>
                <w:rFonts w:cs="Arial"/>
                <w:sz w:val="24"/>
                <w:szCs w:val="24"/>
                <w:lang w:val="lv-LV"/>
              </w:rPr>
              <w:t>lūdzam rast iespēju grozīt 6.8.</w:t>
            </w:r>
            <w:r w:rsidR="00B3502B" w:rsidRPr="007A328E">
              <w:rPr>
                <w:rFonts w:cs="Arial"/>
                <w:sz w:val="24"/>
                <w:szCs w:val="24"/>
                <w:lang w:val="lv-LV"/>
              </w:rPr>
              <w:t>punktu, nosakot līguma nodrošinājuma samazinājumu defektu paziņošanas periodā, piemēram, uz 1 % (vienu procentu).</w:t>
            </w:r>
          </w:p>
        </w:tc>
        <w:tc>
          <w:tcPr>
            <w:tcW w:w="4536" w:type="dxa"/>
            <w:shd w:val="clear" w:color="auto" w:fill="auto"/>
          </w:tcPr>
          <w:p w14:paraId="3A7D0E46" w14:textId="77777777" w:rsidR="00B3502B" w:rsidRDefault="00ED1817" w:rsidP="008A6F71">
            <w:pPr>
              <w:spacing w:after="120"/>
              <w:ind w:right="284"/>
              <w:jc w:val="both"/>
              <w:rPr>
                <w:sz w:val="24"/>
                <w:szCs w:val="24"/>
                <w:lang w:val="lv-LV"/>
              </w:rPr>
            </w:pPr>
            <w:r>
              <w:rPr>
                <w:sz w:val="24"/>
                <w:szCs w:val="24"/>
                <w:lang w:val="lv-LV"/>
              </w:rPr>
              <w:lastRenderedPageBreak/>
              <w:t xml:space="preserve">Grozījumi netiek veikti. </w:t>
            </w:r>
          </w:p>
          <w:p w14:paraId="6A995630" w14:textId="77777777" w:rsidR="00ED1817" w:rsidRPr="00ED1817" w:rsidRDefault="00ED1817" w:rsidP="008A6F71">
            <w:pPr>
              <w:spacing w:after="120"/>
              <w:ind w:right="284"/>
              <w:jc w:val="both"/>
              <w:rPr>
                <w:b/>
                <w:color w:val="000000"/>
                <w:sz w:val="24"/>
                <w:szCs w:val="24"/>
                <w:u w:val="single"/>
                <w:lang w:val="lv-LV"/>
              </w:rPr>
            </w:pPr>
          </w:p>
        </w:tc>
      </w:tr>
    </w:tbl>
    <w:p w14:paraId="00BAE2BB" w14:textId="77777777" w:rsidR="00B3502B" w:rsidRDefault="00B3502B" w:rsidP="00B3502B">
      <w:pPr>
        <w:tabs>
          <w:tab w:val="left" w:pos="1075"/>
          <w:tab w:val="left" w:pos="1818"/>
          <w:tab w:val="left" w:pos="1890"/>
        </w:tabs>
        <w:suppressAutoHyphens/>
        <w:autoSpaceDE w:val="0"/>
        <w:ind w:left="720"/>
        <w:jc w:val="both"/>
        <w:rPr>
          <w:rFonts w:cs="Arial"/>
          <w:lang w:val="lv-LV"/>
        </w:rPr>
      </w:pPr>
    </w:p>
    <w:p w14:paraId="1C98C780" w14:textId="77777777" w:rsidR="00B3502B" w:rsidRDefault="00B3502B" w:rsidP="00B3502B">
      <w:pPr>
        <w:tabs>
          <w:tab w:val="left" w:pos="1075"/>
          <w:tab w:val="left" w:pos="1818"/>
          <w:tab w:val="left" w:pos="1890"/>
        </w:tabs>
        <w:suppressAutoHyphens/>
        <w:autoSpaceDE w:val="0"/>
        <w:jc w:val="both"/>
        <w:rPr>
          <w:rFonts w:cs="Arial"/>
          <w:lang w:val="lv-LV"/>
        </w:rPr>
      </w:pPr>
    </w:p>
    <w:p w14:paraId="2C2A2962" w14:textId="77777777" w:rsidR="00B3502B" w:rsidRDefault="00B3502B" w:rsidP="00B3502B">
      <w:pPr>
        <w:tabs>
          <w:tab w:val="left" w:pos="1075"/>
          <w:tab w:val="left" w:pos="1818"/>
          <w:tab w:val="left" w:pos="1890"/>
        </w:tabs>
        <w:suppressAutoHyphens/>
        <w:autoSpaceDE w:val="0"/>
        <w:jc w:val="both"/>
        <w:rPr>
          <w:rFonts w:cs="Arial"/>
          <w:lang w:val="lv-LV"/>
        </w:rPr>
      </w:pPr>
    </w:p>
    <w:p w14:paraId="68825633"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6B31D08F"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711AE100"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2F36C24C"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62C8BCD7"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4A017F23" w14:textId="77777777" w:rsidR="00B3502B" w:rsidRDefault="00B3502B" w:rsidP="00B3502B">
      <w:pPr>
        <w:tabs>
          <w:tab w:val="left" w:pos="1075"/>
          <w:tab w:val="left" w:pos="1818"/>
          <w:tab w:val="left" w:pos="1890"/>
        </w:tabs>
        <w:suppressAutoHyphens/>
        <w:autoSpaceDE w:val="0"/>
        <w:jc w:val="both"/>
        <w:rPr>
          <w:rFonts w:cs="Arial"/>
          <w:lang w:val="lv-LV"/>
        </w:rPr>
      </w:pPr>
    </w:p>
    <w:p w14:paraId="3677454C" w14:textId="77777777" w:rsidR="0037787C" w:rsidRPr="00CA4DD6" w:rsidRDefault="0037787C" w:rsidP="00CA4DD6">
      <w:pPr>
        <w:rPr>
          <w:lang w:val="lv-LV"/>
        </w:rPr>
      </w:pPr>
    </w:p>
    <w:sectPr w:rsidR="0037787C" w:rsidRPr="00CA4DD6" w:rsidSect="00CA4D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E4228" w14:textId="77777777" w:rsidR="00021CCE" w:rsidRDefault="00021CCE" w:rsidP="00FB1938">
      <w:r>
        <w:separator/>
      </w:r>
    </w:p>
  </w:endnote>
  <w:endnote w:type="continuationSeparator" w:id="0">
    <w:p w14:paraId="407A467C" w14:textId="77777777" w:rsidR="00021CCE" w:rsidRDefault="00021CCE" w:rsidP="00F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02171"/>
      <w:docPartObj>
        <w:docPartGallery w:val="Page Numbers (Bottom of Page)"/>
        <w:docPartUnique/>
      </w:docPartObj>
    </w:sdtPr>
    <w:sdtEndPr>
      <w:rPr>
        <w:noProof/>
      </w:rPr>
    </w:sdtEndPr>
    <w:sdtContent>
      <w:p w14:paraId="2D68322E" w14:textId="77777777" w:rsidR="00FB1938" w:rsidRDefault="00FB1938">
        <w:pPr>
          <w:pStyle w:val="Footer"/>
          <w:jc w:val="right"/>
        </w:pPr>
        <w:r>
          <w:fldChar w:fldCharType="begin"/>
        </w:r>
        <w:r>
          <w:instrText xml:space="preserve"> PAGE   \* MERGEFORMAT </w:instrText>
        </w:r>
        <w:r>
          <w:fldChar w:fldCharType="separate"/>
        </w:r>
        <w:r w:rsidR="009432D3">
          <w:rPr>
            <w:noProof/>
          </w:rPr>
          <w:t>2</w:t>
        </w:r>
        <w:r>
          <w:rPr>
            <w:noProof/>
          </w:rPr>
          <w:fldChar w:fldCharType="end"/>
        </w:r>
      </w:p>
    </w:sdtContent>
  </w:sdt>
  <w:p w14:paraId="1159E7A7" w14:textId="77777777" w:rsidR="00FB1938" w:rsidRDefault="00FB1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FF76" w14:textId="77777777" w:rsidR="00021CCE" w:rsidRDefault="00021CCE" w:rsidP="00FB1938">
      <w:r>
        <w:separator/>
      </w:r>
    </w:p>
  </w:footnote>
  <w:footnote w:type="continuationSeparator" w:id="0">
    <w:p w14:paraId="6553E245" w14:textId="77777777" w:rsidR="00021CCE" w:rsidRDefault="00021CCE" w:rsidP="00FB1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53FB"/>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8780F7F"/>
    <w:multiLevelType w:val="hybridMultilevel"/>
    <w:tmpl w:val="F9CE1A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6"/>
    <w:rsid w:val="00021CCE"/>
    <w:rsid w:val="00021D79"/>
    <w:rsid w:val="000907E5"/>
    <w:rsid w:val="00096912"/>
    <w:rsid w:val="000F6F55"/>
    <w:rsid w:val="001B75C3"/>
    <w:rsid w:val="0023086F"/>
    <w:rsid w:val="00242474"/>
    <w:rsid w:val="00277D7E"/>
    <w:rsid w:val="002C6193"/>
    <w:rsid w:val="002F7F25"/>
    <w:rsid w:val="003012F7"/>
    <w:rsid w:val="00340FA7"/>
    <w:rsid w:val="003567C0"/>
    <w:rsid w:val="0037787C"/>
    <w:rsid w:val="00396BFB"/>
    <w:rsid w:val="00414FB7"/>
    <w:rsid w:val="004206EC"/>
    <w:rsid w:val="004A25F7"/>
    <w:rsid w:val="004F0975"/>
    <w:rsid w:val="0052485F"/>
    <w:rsid w:val="00585936"/>
    <w:rsid w:val="00627BC5"/>
    <w:rsid w:val="006402BC"/>
    <w:rsid w:val="0072459A"/>
    <w:rsid w:val="00734B5A"/>
    <w:rsid w:val="007A328E"/>
    <w:rsid w:val="007F3A06"/>
    <w:rsid w:val="008E32C5"/>
    <w:rsid w:val="009432D3"/>
    <w:rsid w:val="00A61EE2"/>
    <w:rsid w:val="00B06B74"/>
    <w:rsid w:val="00B30167"/>
    <w:rsid w:val="00B3502B"/>
    <w:rsid w:val="00BD31DF"/>
    <w:rsid w:val="00C43E0B"/>
    <w:rsid w:val="00C80C14"/>
    <w:rsid w:val="00CA4DD6"/>
    <w:rsid w:val="00CE4AF4"/>
    <w:rsid w:val="00CE52B4"/>
    <w:rsid w:val="00CF4EA9"/>
    <w:rsid w:val="00D14DAB"/>
    <w:rsid w:val="00D3547B"/>
    <w:rsid w:val="00D819AE"/>
    <w:rsid w:val="00DD0E7D"/>
    <w:rsid w:val="00E05DDC"/>
    <w:rsid w:val="00E244EC"/>
    <w:rsid w:val="00E86EB5"/>
    <w:rsid w:val="00EA5998"/>
    <w:rsid w:val="00EA7EAB"/>
    <w:rsid w:val="00EC6B66"/>
    <w:rsid w:val="00ED1817"/>
    <w:rsid w:val="00FB1938"/>
    <w:rsid w:val="00FD3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CC62"/>
  <w15:docId w15:val="{D03E4437-70FA-4841-9ED5-EF573297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BC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2">
    <w:name w:val="Nos2"/>
    <w:rsid w:val="00CA4DD6"/>
    <w:pPr>
      <w:spacing w:before="120" w:after="120" w:line="240" w:lineRule="auto"/>
      <w:jc w:val="center"/>
    </w:pPr>
    <w:rPr>
      <w:rFonts w:ascii="Times New Roman" w:eastAsia="Times New Roman" w:hAnsi="Times New Roman" w:cs="Times New Roman"/>
      <w:bCs/>
      <w:sz w:val="40"/>
      <w:szCs w:val="40"/>
      <w:lang w:eastAsia="ar-SA"/>
    </w:rPr>
  </w:style>
  <w:style w:type="character" w:styleId="CommentReference">
    <w:name w:val="annotation reference"/>
    <w:basedOn w:val="DefaultParagraphFont"/>
    <w:uiPriority w:val="99"/>
    <w:semiHidden/>
    <w:unhideWhenUsed/>
    <w:rsid w:val="00ED1817"/>
    <w:rPr>
      <w:sz w:val="16"/>
      <w:szCs w:val="16"/>
    </w:rPr>
  </w:style>
  <w:style w:type="paragraph" w:styleId="CommentText">
    <w:name w:val="annotation text"/>
    <w:basedOn w:val="Normal"/>
    <w:link w:val="CommentTextChar"/>
    <w:uiPriority w:val="99"/>
    <w:semiHidden/>
    <w:unhideWhenUsed/>
    <w:rsid w:val="00ED1817"/>
  </w:style>
  <w:style w:type="character" w:customStyle="1" w:styleId="CommentTextChar">
    <w:name w:val="Comment Text Char"/>
    <w:basedOn w:val="DefaultParagraphFont"/>
    <w:link w:val="CommentText"/>
    <w:uiPriority w:val="99"/>
    <w:semiHidden/>
    <w:rsid w:val="00ED18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1817"/>
    <w:rPr>
      <w:b/>
      <w:bCs/>
    </w:rPr>
  </w:style>
  <w:style w:type="character" w:customStyle="1" w:styleId="CommentSubjectChar">
    <w:name w:val="Comment Subject Char"/>
    <w:basedOn w:val="CommentTextChar"/>
    <w:link w:val="CommentSubject"/>
    <w:uiPriority w:val="99"/>
    <w:semiHidden/>
    <w:rsid w:val="00ED181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D1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817"/>
    <w:rPr>
      <w:rFonts w:ascii="Segoe UI" w:eastAsia="Times New Roman" w:hAnsi="Segoe UI" w:cs="Segoe UI"/>
      <w:sz w:val="18"/>
      <w:szCs w:val="18"/>
      <w:lang w:val="en-US"/>
    </w:rPr>
  </w:style>
  <w:style w:type="paragraph" w:styleId="Header">
    <w:name w:val="header"/>
    <w:basedOn w:val="Normal"/>
    <w:link w:val="HeaderChar"/>
    <w:uiPriority w:val="99"/>
    <w:unhideWhenUsed/>
    <w:rsid w:val="00FB1938"/>
    <w:pPr>
      <w:tabs>
        <w:tab w:val="center" w:pos="4153"/>
        <w:tab w:val="right" w:pos="8306"/>
      </w:tabs>
    </w:pPr>
  </w:style>
  <w:style w:type="character" w:customStyle="1" w:styleId="HeaderChar">
    <w:name w:val="Header Char"/>
    <w:basedOn w:val="DefaultParagraphFont"/>
    <w:link w:val="Header"/>
    <w:uiPriority w:val="99"/>
    <w:rsid w:val="00FB193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B1938"/>
    <w:pPr>
      <w:tabs>
        <w:tab w:val="center" w:pos="4153"/>
        <w:tab w:val="right" w:pos="8306"/>
      </w:tabs>
    </w:pPr>
  </w:style>
  <w:style w:type="character" w:customStyle="1" w:styleId="FooterChar">
    <w:name w:val="Footer Char"/>
    <w:basedOn w:val="DefaultParagraphFont"/>
    <w:link w:val="Footer"/>
    <w:uiPriority w:val="99"/>
    <w:rsid w:val="00FB193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3718</Words>
  <Characters>2120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dcterms:created xsi:type="dcterms:W3CDTF">2017-06-12T08:28:00Z</dcterms:created>
  <dcterms:modified xsi:type="dcterms:W3CDTF">2017-07-05T06:26:00Z</dcterms:modified>
</cp:coreProperties>
</file>