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4111"/>
        <w:gridCol w:w="4536"/>
      </w:tblGrid>
      <w:tr w:rsidR="00CA4DD6" w:rsidRPr="00663CB1" w:rsidTr="008A6F71">
        <w:tc>
          <w:tcPr>
            <w:tcW w:w="9640" w:type="dxa"/>
            <w:gridSpan w:val="3"/>
            <w:shd w:val="clear" w:color="auto" w:fill="auto"/>
          </w:tcPr>
          <w:p w:rsidR="00CA4DD6" w:rsidRDefault="00CA4DD6" w:rsidP="008A6F71">
            <w:pPr>
              <w:spacing w:after="120"/>
              <w:ind w:right="284"/>
              <w:jc w:val="center"/>
              <w:rPr>
                <w:sz w:val="24"/>
                <w:szCs w:val="24"/>
                <w:lang w:val="lv-LV"/>
              </w:rPr>
            </w:pPr>
            <w:r w:rsidRPr="00663CB1">
              <w:rPr>
                <w:b/>
                <w:color w:val="000000"/>
                <w:sz w:val="24"/>
                <w:szCs w:val="24"/>
                <w:lang w:val="lv-LV"/>
              </w:rPr>
              <w:t>Skaidrojums Nr.1</w:t>
            </w:r>
            <w:r w:rsidRPr="00663CB1">
              <w:rPr>
                <w:sz w:val="24"/>
                <w:szCs w:val="24"/>
                <w:lang w:val="lv-LV"/>
              </w:rPr>
              <w:t xml:space="preserve"> </w:t>
            </w:r>
          </w:p>
          <w:p w:rsidR="00CA4DD6" w:rsidRPr="00663CB1" w:rsidRDefault="00CA4DD6" w:rsidP="008A6F71">
            <w:pPr>
              <w:spacing w:after="120"/>
              <w:ind w:right="284"/>
              <w:jc w:val="center"/>
              <w:rPr>
                <w:b/>
                <w:color w:val="000000"/>
                <w:sz w:val="24"/>
                <w:szCs w:val="24"/>
                <w:lang w:val="lv-LV"/>
              </w:rPr>
            </w:pPr>
            <w:r w:rsidRPr="00663CB1">
              <w:rPr>
                <w:sz w:val="24"/>
                <w:szCs w:val="24"/>
                <w:lang w:val="lv-LV"/>
              </w:rPr>
              <w:t>atklātam konkursam “Daugavpils pieņemšanas parka un tā piebraucamo ceļu attīstība: būvuzraudzība” (iepirkuma identifikācijas numurs: LDZ 2017/10-IB/6.2.1.2/16/I/003/02-01)</w:t>
            </w:r>
          </w:p>
        </w:tc>
        <w:bookmarkStart w:id="0" w:name="_GoBack"/>
        <w:bookmarkEnd w:id="0"/>
      </w:tr>
      <w:tr w:rsidR="00CA4DD6" w:rsidRPr="00663CB1" w:rsidTr="008A6F71">
        <w:tc>
          <w:tcPr>
            <w:tcW w:w="993" w:type="dxa"/>
            <w:shd w:val="clear" w:color="auto" w:fill="auto"/>
          </w:tcPr>
          <w:p w:rsidR="00CA4DD6" w:rsidRPr="00663CB1" w:rsidRDefault="00CA4DD6" w:rsidP="008A6F71">
            <w:pPr>
              <w:spacing w:after="120"/>
              <w:ind w:right="284"/>
              <w:jc w:val="center"/>
              <w:rPr>
                <w:b/>
                <w:color w:val="000000"/>
                <w:sz w:val="24"/>
                <w:szCs w:val="24"/>
                <w:lang w:val="lv-LV"/>
              </w:rPr>
            </w:pPr>
            <w:proofErr w:type="spellStart"/>
            <w:r w:rsidRPr="00663CB1">
              <w:rPr>
                <w:b/>
                <w:color w:val="000000"/>
                <w:sz w:val="24"/>
                <w:szCs w:val="24"/>
                <w:lang w:val="lv-LV"/>
              </w:rPr>
              <w:t>Nr.p.k</w:t>
            </w:r>
            <w:proofErr w:type="spellEnd"/>
            <w:r w:rsidRPr="00663CB1">
              <w:rPr>
                <w:b/>
                <w:color w:val="000000"/>
                <w:sz w:val="24"/>
                <w:szCs w:val="24"/>
                <w:lang w:val="lv-LV"/>
              </w:rPr>
              <w:t>.</w:t>
            </w:r>
          </w:p>
        </w:tc>
        <w:tc>
          <w:tcPr>
            <w:tcW w:w="4111" w:type="dxa"/>
            <w:shd w:val="clear" w:color="auto" w:fill="auto"/>
          </w:tcPr>
          <w:p w:rsidR="00CA4DD6" w:rsidRPr="00663CB1" w:rsidRDefault="00CA4DD6" w:rsidP="008A6F71">
            <w:pPr>
              <w:spacing w:after="120"/>
              <w:ind w:right="284"/>
              <w:jc w:val="center"/>
              <w:rPr>
                <w:b/>
                <w:color w:val="000000"/>
                <w:sz w:val="24"/>
                <w:szCs w:val="24"/>
                <w:lang w:val="lv-LV"/>
              </w:rPr>
            </w:pPr>
            <w:r w:rsidRPr="00663CB1">
              <w:rPr>
                <w:b/>
                <w:color w:val="000000"/>
                <w:sz w:val="24"/>
                <w:szCs w:val="24"/>
                <w:lang w:val="lv-LV"/>
              </w:rPr>
              <w:t>Jautājumi</w:t>
            </w:r>
          </w:p>
        </w:tc>
        <w:tc>
          <w:tcPr>
            <w:tcW w:w="4536" w:type="dxa"/>
            <w:shd w:val="clear" w:color="auto" w:fill="auto"/>
          </w:tcPr>
          <w:p w:rsidR="00CA4DD6" w:rsidRPr="00663CB1" w:rsidRDefault="00CA4DD6" w:rsidP="008A6F71">
            <w:pPr>
              <w:spacing w:after="120"/>
              <w:ind w:right="284"/>
              <w:jc w:val="center"/>
              <w:rPr>
                <w:b/>
                <w:color w:val="000000"/>
                <w:sz w:val="24"/>
                <w:szCs w:val="24"/>
                <w:lang w:val="lv-LV"/>
              </w:rPr>
            </w:pPr>
            <w:r w:rsidRPr="00663CB1">
              <w:rPr>
                <w:b/>
                <w:color w:val="000000"/>
                <w:sz w:val="24"/>
                <w:szCs w:val="24"/>
                <w:lang w:val="lv-LV"/>
              </w:rPr>
              <w:t>Atbildes</w:t>
            </w:r>
          </w:p>
        </w:tc>
      </w:tr>
      <w:tr w:rsidR="00CA4DD6" w:rsidRPr="00663CB1" w:rsidTr="008A6F71">
        <w:tc>
          <w:tcPr>
            <w:tcW w:w="993" w:type="dxa"/>
            <w:shd w:val="clear" w:color="auto" w:fill="auto"/>
          </w:tcPr>
          <w:p w:rsidR="00CA4DD6" w:rsidRPr="00663CB1" w:rsidRDefault="00CA4DD6" w:rsidP="008A6F71">
            <w:pPr>
              <w:spacing w:after="120"/>
              <w:ind w:right="284"/>
              <w:jc w:val="both"/>
              <w:rPr>
                <w:color w:val="000000"/>
                <w:sz w:val="24"/>
                <w:szCs w:val="24"/>
                <w:lang w:val="lv-LV"/>
              </w:rPr>
            </w:pPr>
            <w:r w:rsidRPr="00663CB1">
              <w:rPr>
                <w:color w:val="000000"/>
                <w:sz w:val="24"/>
                <w:szCs w:val="24"/>
                <w:lang w:val="lv-LV"/>
              </w:rPr>
              <w:t>1.</w:t>
            </w:r>
          </w:p>
        </w:tc>
        <w:tc>
          <w:tcPr>
            <w:tcW w:w="4111" w:type="dxa"/>
            <w:shd w:val="clear" w:color="auto" w:fill="auto"/>
          </w:tcPr>
          <w:p w:rsidR="00CA4DD6" w:rsidRPr="00663CB1" w:rsidRDefault="00CA4DD6" w:rsidP="008A6F71">
            <w:pPr>
              <w:widowControl w:val="0"/>
              <w:suppressAutoHyphens/>
              <w:overflowPunct w:val="0"/>
              <w:autoSpaceDE w:val="0"/>
              <w:autoSpaceDN w:val="0"/>
              <w:adjustRightInd w:val="0"/>
              <w:spacing w:after="120"/>
              <w:jc w:val="both"/>
              <w:textAlignment w:val="baseline"/>
              <w:rPr>
                <w:sz w:val="24"/>
                <w:szCs w:val="24"/>
                <w:u w:val="single"/>
                <w:lang w:val="lv-LV"/>
              </w:rPr>
            </w:pPr>
            <w:r w:rsidRPr="00663CB1">
              <w:rPr>
                <w:sz w:val="24"/>
                <w:szCs w:val="24"/>
                <w:lang w:val="lv-LV"/>
              </w:rPr>
              <w:t>Nolikuma 3.pielikuma “Darba uzdevums” 6.2.punktā attiecībā uz dzelzceļa sliežu ceļu būvdarbu būvuzraugu - atbildīgo būvuzraugu ir noteikts, ka būvdarbu laikā atbildīgajam būvuzraugam jābūt pilna darba laika piesaistei. Vai atbildīgajam būvuzraugam jābūt piesaistītam objektā uz pilnu darba laiku tikai būvdarbu laikā vai arī projektēšanas laikā? Kā arī lūdzam noteikt kāds ir projektēšanas darbu ilgums un kāds ir būvdarbu ilgums.</w:t>
            </w:r>
          </w:p>
          <w:p w:rsidR="00CA4DD6" w:rsidRPr="00663CB1" w:rsidRDefault="00CA4DD6" w:rsidP="008A6F71">
            <w:pPr>
              <w:spacing w:after="120"/>
              <w:ind w:right="284"/>
              <w:jc w:val="both"/>
              <w:rPr>
                <w:b/>
                <w:i/>
                <w:color w:val="000000"/>
                <w:sz w:val="24"/>
                <w:szCs w:val="24"/>
                <w:u w:val="single"/>
                <w:lang w:val="lv-LV"/>
              </w:rPr>
            </w:pPr>
          </w:p>
        </w:tc>
        <w:tc>
          <w:tcPr>
            <w:tcW w:w="4536" w:type="dxa"/>
            <w:shd w:val="clear" w:color="auto" w:fill="auto"/>
          </w:tcPr>
          <w:p w:rsidR="00CA4DD6" w:rsidRPr="00663CB1" w:rsidRDefault="00CA4DD6" w:rsidP="008A6F71">
            <w:pPr>
              <w:spacing w:after="120"/>
              <w:jc w:val="both"/>
              <w:rPr>
                <w:sz w:val="24"/>
                <w:szCs w:val="24"/>
                <w:lang w:val="lv-LV"/>
              </w:rPr>
            </w:pPr>
            <w:r w:rsidRPr="00663CB1">
              <w:rPr>
                <w:sz w:val="24"/>
                <w:szCs w:val="24"/>
                <w:lang w:val="lv-LV"/>
              </w:rPr>
              <w:t xml:space="preserve">Būvdarbu laikā atbildīgajam būvuzraugam jābūt pilna darba laika piesaistei. Projektēšanas laikā nav nepieciešama pilna darba laika piesaiste. </w:t>
            </w:r>
          </w:p>
          <w:p w:rsidR="00CA4DD6" w:rsidRPr="00663CB1" w:rsidRDefault="00CA4DD6" w:rsidP="008A6F71">
            <w:pPr>
              <w:spacing w:after="120"/>
              <w:jc w:val="both"/>
              <w:rPr>
                <w:b/>
                <w:i/>
                <w:color w:val="000000"/>
                <w:sz w:val="24"/>
                <w:szCs w:val="24"/>
                <w:u w:val="single"/>
                <w:lang w:val="lv-LV"/>
              </w:rPr>
            </w:pPr>
            <w:r w:rsidRPr="00663CB1">
              <w:rPr>
                <w:rFonts w:eastAsia="Arial Unicode MS"/>
                <w:noProof/>
                <w:sz w:val="24"/>
                <w:szCs w:val="24"/>
                <w:lang w:val="lv-LV" w:eastAsia="lv-LV"/>
              </w:rPr>
              <w:t>„Daugavpils pieņemšanas parka un tam piebraucamo ceļu attīstība - būvniecība”</w:t>
            </w:r>
            <w:r w:rsidRPr="00663CB1">
              <w:rPr>
                <w:bCs/>
                <w:iCs/>
                <w:sz w:val="24"/>
                <w:szCs w:val="24"/>
                <w:lang w:val="lv-LV"/>
              </w:rPr>
              <w:t xml:space="preserve"> </w:t>
            </w:r>
            <w:r w:rsidRPr="00663CB1">
              <w:rPr>
                <w:sz w:val="24"/>
                <w:szCs w:val="24"/>
                <w:lang w:val="lv-LV"/>
              </w:rPr>
              <w:t xml:space="preserve">Darba līguma izpildes laiks ir 36 (trīsdesmit seši) mēneši no Darba Līguma parakstīšanas datuma. Projektēšanas un būvdarbu izpildes laiks tiks noteikts Darba līguma īstenošanas laikā, kas ir atkarīgs no Uzņēmēja. Katram  Uzņēmējam var būt atšķirīgas Darba līguma izpildes pieejas, ko pieļauj arī </w:t>
            </w:r>
            <w:r w:rsidRPr="00663CB1">
              <w:rPr>
                <w:bCs/>
                <w:sz w:val="24"/>
                <w:szCs w:val="24"/>
                <w:lang w:val="lv-LV"/>
              </w:rPr>
              <w:t xml:space="preserve">Latvijas Republikas spēkā esošie normatīvie akti. </w:t>
            </w:r>
          </w:p>
        </w:tc>
      </w:tr>
      <w:tr w:rsidR="00CA4DD6" w:rsidRPr="00663CB1" w:rsidTr="008A6F71">
        <w:tc>
          <w:tcPr>
            <w:tcW w:w="993" w:type="dxa"/>
            <w:shd w:val="clear" w:color="auto" w:fill="auto"/>
          </w:tcPr>
          <w:p w:rsidR="00CA4DD6" w:rsidRPr="00663CB1" w:rsidRDefault="00CA4DD6" w:rsidP="008A6F71">
            <w:pPr>
              <w:spacing w:after="120"/>
              <w:ind w:right="284"/>
              <w:jc w:val="both"/>
              <w:rPr>
                <w:color w:val="000000"/>
                <w:sz w:val="24"/>
                <w:szCs w:val="24"/>
                <w:lang w:val="lv-LV"/>
              </w:rPr>
            </w:pPr>
            <w:r w:rsidRPr="00663CB1">
              <w:rPr>
                <w:color w:val="000000"/>
                <w:sz w:val="24"/>
                <w:szCs w:val="24"/>
                <w:lang w:val="lv-LV"/>
              </w:rPr>
              <w:t>2.</w:t>
            </w:r>
          </w:p>
        </w:tc>
        <w:tc>
          <w:tcPr>
            <w:tcW w:w="4111" w:type="dxa"/>
            <w:shd w:val="clear" w:color="auto" w:fill="auto"/>
          </w:tcPr>
          <w:p w:rsidR="00CA4DD6" w:rsidRPr="00663CB1" w:rsidRDefault="00CA4DD6" w:rsidP="008A6F71">
            <w:pPr>
              <w:widowControl w:val="0"/>
              <w:suppressAutoHyphens/>
              <w:overflowPunct w:val="0"/>
              <w:autoSpaceDE w:val="0"/>
              <w:autoSpaceDN w:val="0"/>
              <w:adjustRightInd w:val="0"/>
              <w:spacing w:after="120"/>
              <w:jc w:val="both"/>
              <w:textAlignment w:val="baseline"/>
              <w:rPr>
                <w:b/>
                <w:i/>
                <w:color w:val="000000"/>
                <w:sz w:val="24"/>
                <w:szCs w:val="24"/>
                <w:u w:val="single"/>
                <w:lang w:val="lv-LV"/>
              </w:rPr>
            </w:pPr>
            <w:r w:rsidRPr="00663CB1">
              <w:rPr>
                <w:sz w:val="24"/>
                <w:szCs w:val="24"/>
                <w:lang w:val="lv-LV"/>
              </w:rPr>
              <w:t>Nolikuma 3.pielikuma “Darba uzdevums” 6.2.punktā attiecībā uz siltumapgādes, ventilācijas un gaisa kondicionēšanas sistēmu būvdarbu būvuzraugu ir noteikts, ka viņam jābūt vismaz divos objektos veikušam siltumapgādes, ventilācijas un gaisa kondicionēšanas sistēmu (t.sk. centralizētās, apkures sistēmas, gāzes katli, siltummezgli) būvdarbu būvuzraudzību, kuri nodoti ekspluatācijā. Ievērojot to, ka gāzes katlu būvdarbu būvuzraudzību parasti veic gāzes apgādes sistēmu būvdarbu būvuzraugs, lūdzam izslēgt vārdus “gāzes katli”.</w:t>
            </w:r>
          </w:p>
        </w:tc>
        <w:tc>
          <w:tcPr>
            <w:tcW w:w="4536" w:type="dxa"/>
            <w:shd w:val="clear" w:color="auto" w:fill="auto"/>
          </w:tcPr>
          <w:p w:rsidR="00CA4DD6" w:rsidRPr="00663CB1" w:rsidRDefault="00CA4DD6" w:rsidP="008A6F71">
            <w:pPr>
              <w:spacing w:after="120"/>
              <w:jc w:val="both"/>
              <w:rPr>
                <w:sz w:val="24"/>
                <w:szCs w:val="24"/>
                <w:lang w:val="lv-LV"/>
              </w:rPr>
            </w:pPr>
            <w:r w:rsidRPr="00663CB1">
              <w:rPr>
                <w:sz w:val="24"/>
                <w:szCs w:val="24"/>
                <w:lang w:val="lv-LV"/>
              </w:rPr>
              <w:t xml:space="preserve">Siltumapgādes, ventilācijas un gaisa kondicionēšanas sistēmu būvdarbu būvuzraugam jābūt pieredzei dažādu siltumapgādes veidu (t.sk. centrālās apkures sistēmās un lokālās ar gāzes katlu izmantošanu) darbu būvuzraudzībā. Būvuzraugam jānodrošina arī specializēto telpu (t.sk. centralizētās apkures sistēmas, gāzes katlu, siltummezglu  telpu) ventilācijas darbu būvuzraudzība. </w:t>
            </w:r>
          </w:p>
          <w:p w:rsidR="00CA4DD6" w:rsidRPr="00663CB1" w:rsidRDefault="00CA4DD6" w:rsidP="008A6F71">
            <w:pPr>
              <w:spacing w:after="120"/>
              <w:jc w:val="both"/>
              <w:rPr>
                <w:sz w:val="24"/>
                <w:szCs w:val="24"/>
                <w:lang w:val="lv-LV"/>
              </w:rPr>
            </w:pPr>
            <w:r w:rsidRPr="00663CB1">
              <w:rPr>
                <w:sz w:val="24"/>
                <w:szCs w:val="24"/>
                <w:lang w:val="lv-LV"/>
              </w:rPr>
              <w:t>Prasība tiek saglabāta līdzšinējā redakcijā.</w:t>
            </w:r>
          </w:p>
          <w:p w:rsidR="00CA4DD6" w:rsidRPr="00663CB1" w:rsidRDefault="00CA4DD6" w:rsidP="008A6F71">
            <w:pPr>
              <w:spacing w:after="120"/>
              <w:jc w:val="both"/>
              <w:rPr>
                <w:b/>
                <w:i/>
                <w:color w:val="000000"/>
                <w:sz w:val="24"/>
                <w:szCs w:val="24"/>
                <w:u w:val="single"/>
                <w:lang w:val="lv-LV"/>
              </w:rPr>
            </w:pPr>
          </w:p>
        </w:tc>
      </w:tr>
      <w:tr w:rsidR="00CA4DD6" w:rsidRPr="00663CB1" w:rsidTr="008A6F71">
        <w:tc>
          <w:tcPr>
            <w:tcW w:w="993" w:type="dxa"/>
            <w:shd w:val="clear" w:color="auto" w:fill="auto"/>
          </w:tcPr>
          <w:p w:rsidR="00CA4DD6" w:rsidRPr="00663CB1" w:rsidRDefault="00CA4DD6" w:rsidP="008A6F71">
            <w:pPr>
              <w:spacing w:after="120"/>
              <w:ind w:right="284"/>
              <w:jc w:val="both"/>
              <w:rPr>
                <w:color w:val="000000"/>
                <w:sz w:val="24"/>
                <w:szCs w:val="24"/>
                <w:lang w:val="lv-LV"/>
              </w:rPr>
            </w:pPr>
            <w:r w:rsidRPr="00663CB1">
              <w:rPr>
                <w:color w:val="000000"/>
                <w:sz w:val="24"/>
                <w:szCs w:val="24"/>
                <w:lang w:val="lv-LV"/>
              </w:rPr>
              <w:t>3.</w:t>
            </w:r>
          </w:p>
        </w:tc>
        <w:tc>
          <w:tcPr>
            <w:tcW w:w="4111" w:type="dxa"/>
            <w:shd w:val="clear" w:color="auto" w:fill="auto"/>
          </w:tcPr>
          <w:p w:rsidR="00CA4DD6" w:rsidRPr="00663CB1" w:rsidRDefault="00CA4DD6" w:rsidP="008A6F71">
            <w:pPr>
              <w:widowControl w:val="0"/>
              <w:suppressAutoHyphens/>
              <w:overflowPunct w:val="0"/>
              <w:autoSpaceDE w:val="0"/>
              <w:autoSpaceDN w:val="0"/>
              <w:adjustRightInd w:val="0"/>
              <w:spacing w:after="120"/>
              <w:jc w:val="both"/>
              <w:textAlignment w:val="baseline"/>
              <w:rPr>
                <w:b/>
                <w:i/>
                <w:color w:val="000000"/>
                <w:sz w:val="24"/>
                <w:szCs w:val="24"/>
                <w:u w:val="single"/>
                <w:lang w:val="lv-LV"/>
              </w:rPr>
            </w:pPr>
            <w:r w:rsidRPr="00663CB1">
              <w:rPr>
                <w:sz w:val="24"/>
                <w:szCs w:val="24"/>
                <w:lang w:val="lv-LV"/>
              </w:rPr>
              <w:t>Nolikuma 3.pielikuma “Darba uzdevums” 6.2.punktā ir noteiktas kvalifikācijas prasības attiecībā uz Inženiera personālu. Vai speciālists var tikt piesaistīts vairākām pozīcijām gadījumā, ja viņam ir atbilstoša kvalifikācija un pieredze?</w:t>
            </w:r>
          </w:p>
        </w:tc>
        <w:tc>
          <w:tcPr>
            <w:tcW w:w="4536" w:type="dxa"/>
            <w:shd w:val="clear" w:color="auto" w:fill="auto"/>
          </w:tcPr>
          <w:p w:rsidR="00CA4DD6" w:rsidRPr="00663CB1" w:rsidRDefault="00CA4DD6" w:rsidP="008A6F71">
            <w:pPr>
              <w:spacing w:after="120"/>
              <w:jc w:val="both"/>
              <w:rPr>
                <w:sz w:val="24"/>
                <w:szCs w:val="24"/>
                <w:lang w:val="lv-LV"/>
              </w:rPr>
            </w:pPr>
            <w:r w:rsidRPr="00663CB1">
              <w:rPr>
                <w:sz w:val="24"/>
                <w:szCs w:val="24"/>
                <w:lang w:val="lv-LV"/>
              </w:rPr>
              <w:t xml:space="preserve">Speciālists var tikt piesaistīts vairākām pozīcijām, ja to pieļauj </w:t>
            </w:r>
            <w:r w:rsidRPr="00663CB1">
              <w:rPr>
                <w:bCs/>
                <w:sz w:val="24"/>
                <w:szCs w:val="24"/>
                <w:lang w:val="lv-LV"/>
              </w:rPr>
              <w:t xml:space="preserve">Latvijas Republikas spēkā esošie normatīvie akti, un </w:t>
            </w:r>
            <w:r w:rsidRPr="00663CB1">
              <w:rPr>
                <w:sz w:val="24"/>
                <w:szCs w:val="24"/>
                <w:lang w:val="lv-LV"/>
              </w:rPr>
              <w:t>tiek nodrošināta/nekavēta Līguma izpilde pildot vairākus pienākumus vienlaicīgi.</w:t>
            </w:r>
          </w:p>
          <w:p w:rsidR="00CA4DD6" w:rsidRPr="00663CB1" w:rsidRDefault="00CA4DD6" w:rsidP="008A6F71">
            <w:pPr>
              <w:spacing w:after="120"/>
              <w:ind w:right="284"/>
              <w:jc w:val="both"/>
              <w:rPr>
                <w:b/>
                <w:i/>
                <w:color w:val="000000"/>
                <w:sz w:val="24"/>
                <w:szCs w:val="24"/>
                <w:u w:val="single"/>
                <w:lang w:val="lv-LV"/>
              </w:rPr>
            </w:pPr>
          </w:p>
        </w:tc>
      </w:tr>
      <w:tr w:rsidR="00CA4DD6" w:rsidRPr="00663CB1" w:rsidTr="008A6F71">
        <w:tc>
          <w:tcPr>
            <w:tcW w:w="993" w:type="dxa"/>
            <w:shd w:val="clear" w:color="auto" w:fill="auto"/>
          </w:tcPr>
          <w:p w:rsidR="00CA4DD6" w:rsidRPr="00663CB1" w:rsidRDefault="00CA4DD6" w:rsidP="008A6F71">
            <w:pPr>
              <w:spacing w:after="120"/>
              <w:ind w:right="284"/>
              <w:jc w:val="both"/>
              <w:rPr>
                <w:color w:val="000000"/>
                <w:sz w:val="24"/>
                <w:szCs w:val="24"/>
                <w:lang w:val="lv-LV"/>
              </w:rPr>
            </w:pPr>
            <w:r w:rsidRPr="00663CB1">
              <w:rPr>
                <w:color w:val="000000"/>
                <w:sz w:val="24"/>
                <w:szCs w:val="24"/>
                <w:lang w:val="lv-LV"/>
              </w:rPr>
              <w:t>4.</w:t>
            </w:r>
          </w:p>
        </w:tc>
        <w:tc>
          <w:tcPr>
            <w:tcW w:w="4111" w:type="dxa"/>
            <w:shd w:val="clear" w:color="auto" w:fill="auto"/>
          </w:tcPr>
          <w:p w:rsidR="00CA4DD6" w:rsidRPr="00663CB1" w:rsidRDefault="00CA4DD6" w:rsidP="008A6F71">
            <w:pPr>
              <w:pStyle w:val="Nos2"/>
              <w:spacing w:before="0"/>
              <w:jc w:val="both"/>
              <w:rPr>
                <w:sz w:val="24"/>
                <w:szCs w:val="24"/>
              </w:rPr>
            </w:pPr>
            <w:r w:rsidRPr="00663CB1">
              <w:rPr>
                <w:sz w:val="24"/>
                <w:szCs w:val="24"/>
              </w:rPr>
              <w:t xml:space="preserve">Nolikuma 3.pielikuma “Darba uzdevums” 6.2.1.punktā ir noteikts, ka Inženierim līguma darbības laikā ir jānodrošina savu vadošo speciālistu brīvu sazināšanos (mutiski un rakstiski) </w:t>
            </w:r>
            <w:r w:rsidRPr="00663CB1">
              <w:rPr>
                <w:sz w:val="24"/>
                <w:szCs w:val="24"/>
              </w:rPr>
              <w:lastRenderedPageBreak/>
              <w:t>ar pasūtītāju latviešu valodā. Vai Inženieris ir tiesīgs piesaistīt tulku, sedzot tulkošanas izmaksas, gadījumā, ja pretendents ir ārvalstu uzņēmums un darbā tiks piesaistīti ārvalstu speciālisti?</w:t>
            </w:r>
          </w:p>
          <w:p w:rsidR="00CA4DD6" w:rsidRPr="00663CB1" w:rsidRDefault="00CA4DD6" w:rsidP="008A6F71">
            <w:pPr>
              <w:spacing w:after="120"/>
              <w:ind w:right="284"/>
              <w:jc w:val="both"/>
              <w:rPr>
                <w:b/>
                <w:i/>
                <w:color w:val="000000"/>
                <w:sz w:val="24"/>
                <w:szCs w:val="24"/>
                <w:u w:val="single"/>
                <w:lang w:val="lv-LV"/>
              </w:rPr>
            </w:pPr>
          </w:p>
        </w:tc>
        <w:tc>
          <w:tcPr>
            <w:tcW w:w="4536" w:type="dxa"/>
            <w:shd w:val="clear" w:color="auto" w:fill="auto"/>
          </w:tcPr>
          <w:p w:rsidR="00CA4DD6" w:rsidRPr="00663CB1" w:rsidRDefault="00CA4DD6" w:rsidP="008A6F71">
            <w:pPr>
              <w:spacing w:after="120"/>
              <w:jc w:val="both"/>
              <w:rPr>
                <w:sz w:val="24"/>
                <w:szCs w:val="24"/>
                <w:lang w:val="lv-LV"/>
              </w:rPr>
            </w:pPr>
            <w:r w:rsidRPr="00663CB1">
              <w:rPr>
                <w:sz w:val="24"/>
                <w:szCs w:val="24"/>
                <w:lang w:val="lv-LV"/>
              </w:rPr>
              <w:lastRenderedPageBreak/>
              <w:t>Inženieris ir tiesīgs piesaistīt tulku, lai nodrošinātu Līguma un Darbu izpildi.</w:t>
            </w:r>
          </w:p>
          <w:p w:rsidR="00CA4DD6" w:rsidRPr="00663CB1" w:rsidRDefault="00CA4DD6" w:rsidP="008A6F71">
            <w:pPr>
              <w:spacing w:after="120"/>
              <w:jc w:val="both"/>
              <w:rPr>
                <w:i/>
                <w:sz w:val="24"/>
                <w:szCs w:val="24"/>
                <w:lang w:val="lv-LV"/>
              </w:rPr>
            </w:pPr>
            <w:r w:rsidRPr="00663CB1">
              <w:rPr>
                <w:color w:val="000000"/>
                <w:sz w:val="24"/>
                <w:szCs w:val="24"/>
                <w:lang w:val="lv-LV"/>
              </w:rPr>
              <w:t>Atbilstoši atklāta konkursa 2.pielikuma 2.veidlapas</w:t>
            </w:r>
            <w:r w:rsidRPr="00663CB1">
              <w:rPr>
                <w:bCs/>
                <w:sz w:val="24"/>
                <w:szCs w:val="24"/>
                <w:lang w:val="lv-LV"/>
              </w:rPr>
              <w:t xml:space="preserve"> FINANŠU PIEDĀVĀJUMS </w:t>
            </w:r>
            <w:r w:rsidRPr="00663CB1">
              <w:rPr>
                <w:bCs/>
                <w:sz w:val="24"/>
                <w:szCs w:val="24"/>
                <w:lang w:val="lv-LV"/>
              </w:rPr>
              <w:lastRenderedPageBreak/>
              <w:t>sadaļai</w:t>
            </w:r>
            <w:r w:rsidRPr="00663CB1">
              <w:rPr>
                <w:bCs/>
                <w:i/>
                <w:sz w:val="24"/>
                <w:szCs w:val="24"/>
                <w:lang w:val="lv-LV"/>
              </w:rPr>
              <w:t xml:space="preserve"> “Piezīmes 2.VEIDLAPAI  „FINANŠU PIEDĀVĀJUMS” </w:t>
            </w:r>
            <w:r w:rsidRPr="00663CB1">
              <w:rPr>
                <w:bCs/>
                <w:sz w:val="24"/>
                <w:szCs w:val="24"/>
                <w:lang w:val="lv-LV"/>
              </w:rPr>
              <w:t>3.punktā noteiktajam</w:t>
            </w:r>
            <w:r w:rsidRPr="00663CB1">
              <w:rPr>
                <w:bCs/>
                <w:i/>
                <w:sz w:val="24"/>
                <w:szCs w:val="24"/>
                <w:lang w:val="lv-LV"/>
              </w:rPr>
              <w:t xml:space="preserve"> - </w:t>
            </w:r>
            <w:r w:rsidRPr="00663CB1">
              <w:rPr>
                <w:i/>
                <w:sz w:val="24"/>
                <w:szCs w:val="24"/>
                <w:lang w:val="lv-LV"/>
              </w:rPr>
              <w:t>Pretendenta speciālistu dienas likmē jāiekļauj visas ar līguma izpildi saistītās izmaksas, t.sk.: tiešie ekspertu izdevumi (piemēram, vietējais transports, transportlīdzekļu pirkšana vai īre u.c., kā arī visi izdevumi par komunikāciju, tulkošanu un kancelejas piederumiem).</w:t>
            </w:r>
          </w:p>
          <w:p w:rsidR="00CA4DD6" w:rsidRPr="00663CB1" w:rsidRDefault="00CA4DD6" w:rsidP="008A6F71">
            <w:pPr>
              <w:spacing w:after="120"/>
              <w:jc w:val="both"/>
              <w:rPr>
                <w:b/>
                <w:i/>
                <w:color w:val="000000"/>
                <w:sz w:val="24"/>
                <w:szCs w:val="24"/>
                <w:u w:val="single"/>
                <w:lang w:val="lv-LV"/>
              </w:rPr>
            </w:pPr>
            <w:r w:rsidRPr="00663CB1">
              <w:rPr>
                <w:sz w:val="24"/>
                <w:szCs w:val="24"/>
                <w:lang w:val="lv-LV"/>
              </w:rPr>
              <w:t xml:space="preserve"> Iepriekšminētais attiecināms uz visiem piesaistāmajiem speciālistiem, ekspertiem u.c. piesaistāmajām personām.</w:t>
            </w:r>
          </w:p>
        </w:tc>
      </w:tr>
      <w:tr w:rsidR="00CA4DD6" w:rsidRPr="00663CB1" w:rsidTr="008A6F71">
        <w:tc>
          <w:tcPr>
            <w:tcW w:w="993" w:type="dxa"/>
            <w:shd w:val="clear" w:color="auto" w:fill="auto"/>
          </w:tcPr>
          <w:p w:rsidR="00CA4DD6" w:rsidRPr="00663CB1" w:rsidRDefault="00CA4DD6" w:rsidP="008A6F71">
            <w:pPr>
              <w:spacing w:after="120"/>
              <w:ind w:right="284"/>
              <w:jc w:val="both"/>
              <w:rPr>
                <w:color w:val="000000"/>
                <w:sz w:val="24"/>
                <w:szCs w:val="24"/>
                <w:lang w:val="lv-LV"/>
              </w:rPr>
            </w:pPr>
            <w:r w:rsidRPr="00663CB1">
              <w:rPr>
                <w:color w:val="000000"/>
                <w:sz w:val="24"/>
                <w:szCs w:val="24"/>
                <w:lang w:val="lv-LV"/>
              </w:rPr>
              <w:t>5.</w:t>
            </w:r>
          </w:p>
        </w:tc>
        <w:tc>
          <w:tcPr>
            <w:tcW w:w="4111" w:type="dxa"/>
            <w:shd w:val="clear" w:color="auto" w:fill="auto"/>
          </w:tcPr>
          <w:p w:rsidR="00CA4DD6" w:rsidRPr="00663CB1" w:rsidRDefault="00CA4DD6" w:rsidP="008A6F71">
            <w:pPr>
              <w:pStyle w:val="Nos2"/>
              <w:spacing w:before="0"/>
              <w:jc w:val="both"/>
              <w:rPr>
                <w:b/>
                <w:i/>
                <w:color w:val="000000"/>
                <w:sz w:val="24"/>
                <w:szCs w:val="24"/>
                <w:u w:val="single"/>
              </w:rPr>
            </w:pPr>
            <w:r w:rsidRPr="00663CB1">
              <w:rPr>
                <w:sz w:val="24"/>
                <w:szCs w:val="24"/>
              </w:rPr>
              <w:t>Nolikuma 3.pielikuma “Darba uzdevums” 6.2.2.punktā ir noteikts, ka ārvalstu uzņēmējiem, viņu būvuzraugiem un izpildītājiem ir jābūt Inženiera valsts izsniegtai licencei, sertifikātam vai citam līdzvērtīgam dokumentam, kas apliecina tiesības veikt darba pienākumus. Lūdzam apstiprināt, ka gadījumā, ja pretendents ir ārvalstu uzņēmums, uzņēmums ir tiesīgs iesniegt savā mītnes valstī izsniegto reģistrācijas apliecību, licenci, kas apliecina tiesības veikt darba pienākumus, bet ārvalstu uzņēmuma būvuzraugiem ir tiesības iesniegt savā mītnes valstī izsniegto licenci, sertifikātu vai citu līdzvērtīgu dokumentu, kas apliecina tiesības veikt darba pienākumus.</w:t>
            </w:r>
          </w:p>
        </w:tc>
        <w:tc>
          <w:tcPr>
            <w:tcW w:w="4536" w:type="dxa"/>
            <w:shd w:val="clear" w:color="auto" w:fill="auto"/>
          </w:tcPr>
          <w:p w:rsidR="00CA4DD6" w:rsidRPr="00663CB1" w:rsidRDefault="00CA4DD6" w:rsidP="008A6F71">
            <w:pPr>
              <w:keepNext/>
              <w:spacing w:after="120"/>
              <w:jc w:val="both"/>
              <w:outlineLvl w:val="0"/>
              <w:rPr>
                <w:bCs/>
                <w:sz w:val="24"/>
                <w:szCs w:val="24"/>
                <w:lang w:val="lv-LV"/>
              </w:rPr>
            </w:pPr>
            <w:r w:rsidRPr="00663CB1">
              <w:rPr>
                <w:bCs/>
                <w:sz w:val="24"/>
                <w:szCs w:val="24"/>
                <w:lang w:val="lv-LV"/>
              </w:rPr>
              <w:t>Apstiprinām, ka ārvalstu</w:t>
            </w:r>
            <w:r w:rsidRPr="00663CB1">
              <w:rPr>
                <w:sz w:val="24"/>
                <w:szCs w:val="24"/>
                <w:lang w:val="lv-LV"/>
              </w:rPr>
              <w:t xml:space="preserve"> uzņēmējiem, viņu būvuzraugiem un izpildītājiem ir jābūt Inženiera valsts izsniegtai licencei, sertifikātam vai citam līdzvērtīgam dokumentam (iesniedzot pretendenta apstiprinātas kopijas), kas apliecina tiesības veikt darba pienākumus. Inženierim, viņa būvuzraugiem līdz līgumā noteiktajam darbu uzsākšanas datumam ir jāiegūst profesionālās kvalifikācijas atzīšanas apliecība un atbilstoši sertifikāti saskaņā ar Latvijas Republikā spēkā esošajiem normatīvajiem aktiem.</w:t>
            </w:r>
          </w:p>
          <w:p w:rsidR="00CA4DD6" w:rsidRPr="00663CB1" w:rsidRDefault="00CA4DD6" w:rsidP="008A6F71">
            <w:pPr>
              <w:spacing w:after="120"/>
              <w:ind w:right="284"/>
              <w:jc w:val="both"/>
              <w:rPr>
                <w:b/>
                <w:i/>
                <w:color w:val="000000"/>
                <w:sz w:val="24"/>
                <w:szCs w:val="24"/>
                <w:u w:val="single"/>
                <w:lang w:val="lv-LV"/>
              </w:rPr>
            </w:pPr>
          </w:p>
        </w:tc>
      </w:tr>
      <w:tr w:rsidR="00CA4DD6" w:rsidRPr="00663CB1" w:rsidTr="008A6F71">
        <w:tc>
          <w:tcPr>
            <w:tcW w:w="993" w:type="dxa"/>
            <w:shd w:val="clear" w:color="auto" w:fill="auto"/>
          </w:tcPr>
          <w:p w:rsidR="00CA4DD6" w:rsidRPr="00663CB1" w:rsidRDefault="00CA4DD6" w:rsidP="008A6F71">
            <w:pPr>
              <w:spacing w:after="120"/>
              <w:ind w:right="284"/>
              <w:jc w:val="both"/>
              <w:rPr>
                <w:color w:val="000000"/>
                <w:sz w:val="24"/>
                <w:szCs w:val="24"/>
                <w:lang w:val="lv-LV"/>
              </w:rPr>
            </w:pPr>
            <w:r w:rsidRPr="00663CB1">
              <w:rPr>
                <w:color w:val="000000"/>
                <w:sz w:val="24"/>
                <w:szCs w:val="24"/>
                <w:lang w:val="lv-LV"/>
              </w:rPr>
              <w:t>6.</w:t>
            </w:r>
          </w:p>
        </w:tc>
        <w:tc>
          <w:tcPr>
            <w:tcW w:w="4111" w:type="dxa"/>
            <w:shd w:val="clear" w:color="auto" w:fill="auto"/>
          </w:tcPr>
          <w:p w:rsidR="00CA4DD6" w:rsidRPr="00663CB1" w:rsidRDefault="00CA4DD6" w:rsidP="008A6F71">
            <w:pPr>
              <w:pStyle w:val="Nos2"/>
              <w:spacing w:before="0"/>
              <w:jc w:val="both"/>
              <w:rPr>
                <w:sz w:val="24"/>
                <w:szCs w:val="24"/>
              </w:rPr>
            </w:pPr>
            <w:r w:rsidRPr="00663CB1">
              <w:rPr>
                <w:sz w:val="24"/>
                <w:szCs w:val="24"/>
              </w:rPr>
              <w:t>Nolikuma 3.pielikuma “Darba uzdevums” 6.3.punktā ir noteikts, ka kopējam plānotajam Inženiera cilvēkdienu skaitam ir jābūt ne mazākam par 2300 dienām. Vai kopējais Inženiera cilvēkdienu skaits iekļauj sevī arī darbu birojā, piemēram projektēšanas laikā vai būvdarbu laikā dokumentācijas sagatavošanai? Ja jā, tad kā tiks veikta faktiska cilvēkdienu uzskaite līguma izpildes laikā (piem., projektēšanas laikā)?</w:t>
            </w:r>
          </w:p>
        </w:tc>
        <w:tc>
          <w:tcPr>
            <w:tcW w:w="4536" w:type="dxa"/>
            <w:shd w:val="clear" w:color="auto" w:fill="auto"/>
          </w:tcPr>
          <w:p w:rsidR="00CA4DD6" w:rsidRPr="00663CB1" w:rsidRDefault="00CA4DD6" w:rsidP="008A6F71">
            <w:pPr>
              <w:jc w:val="both"/>
              <w:rPr>
                <w:sz w:val="24"/>
                <w:szCs w:val="24"/>
                <w:lang w:val="lv-LV"/>
              </w:rPr>
            </w:pPr>
            <w:r w:rsidRPr="00663CB1">
              <w:rPr>
                <w:sz w:val="24"/>
                <w:szCs w:val="24"/>
                <w:lang w:val="lv-LV"/>
              </w:rPr>
              <w:t xml:space="preserve">Kopējā Inženiera cilvēkdienu skaitā iekļaujamas arī darba stundas birojā.  </w:t>
            </w:r>
          </w:p>
          <w:p w:rsidR="00CA4DD6" w:rsidRPr="00663CB1" w:rsidRDefault="00CA4DD6" w:rsidP="008A6F71">
            <w:pPr>
              <w:jc w:val="both"/>
              <w:rPr>
                <w:sz w:val="24"/>
                <w:szCs w:val="24"/>
                <w:lang w:val="lv-LV"/>
              </w:rPr>
            </w:pPr>
            <w:r w:rsidRPr="00663CB1">
              <w:rPr>
                <w:sz w:val="24"/>
                <w:szCs w:val="24"/>
                <w:lang w:val="lv-LV"/>
              </w:rPr>
              <w:t>Jāveic katra speciālista cilvēkdienu uzskaite un jāiesniedz Pasūtītājam saskaņā ar  Līgumu.</w:t>
            </w:r>
          </w:p>
          <w:p w:rsidR="00CA4DD6" w:rsidRPr="00663CB1" w:rsidRDefault="00CA4DD6" w:rsidP="008A6F71">
            <w:pPr>
              <w:spacing w:after="120"/>
              <w:ind w:right="284"/>
              <w:jc w:val="both"/>
              <w:rPr>
                <w:b/>
                <w:i/>
                <w:color w:val="000000"/>
                <w:sz w:val="24"/>
                <w:szCs w:val="24"/>
                <w:u w:val="single"/>
                <w:lang w:val="lv-LV"/>
              </w:rPr>
            </w:pPr>
          </w:p>
        </w:tc>
      </w:tr>
    </w:tbl>
    <w:p w:rsidR="0037787C" w:rsidRPr="00CA4DD6" w:rsidRDefault="0037787C" w:rsidP="00CA4DD6">
      <w:pPr>
        <w:rPr>
          <w:lang w:val="lv-LV"/>
        </w:rPr>
      </w:pPr>
    </w:p>
    <w:sectPr w:rsidR="0037787C" w:rsidRPr="00CA4DD6" w:rsidSect="00CA4DD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B66"/>
    <w:rsid w:val="000907E5"/>
    <w:rsid w:val="0037787C"/>
    <w:rsid w:val="00A61EE2"/>
    <w:rsid w:val="00CA4DD6"/>
    <w:rsid w:val="00EC6B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6B7072-CDB6-49AD-85C9-9DA2B8125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DD6"/>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2">
    <w:name w:val="Nos2"/>
    <w:rsid w:val="00CA4DD6"/>
    <w:pPr>
      <w:spacing w:before="120" w:after="120" w:line="240" w:lineRule="auto"/>
      <w:jc w:val="center"/>
    </w:pPr>
    <w:rPr>
      <w:rFonts w:ascii="Times New Roman" w:eastAsia="Times New Roman" w:hAnsi="Times New Roman" w:cs="Times New Roman"/>
      <w:bCs/>
      <w:sz w:val="40"/>
      <w:szCs w:val="4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3410</Words>
  <Characters>1945</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Kempa</dc:creator>
  <cp:keywords/>
  <dc:description/>
  <cp:lastModifiedBy>Inese Kempa</cp:lastModifiedBy>
  <cp:revision>2</cp:revision>
  <dcterms:created xsi:type="dcterms:W3CDTF">2017-04-24T12:32:00Z</dcterms:created>
  <dcterms:modified xsi:type="dcterms:W3CDTF">2017-04-24T12:32:00Z</dcterms:modified>
</cp:coreProperties>
</file>