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111"/>
        <w:gridCol w:w="4536"/>
      </w:tblGrid>
      <w:tr w:rsidR="00397177" w:rsidRPr="00FE3CD0" w:rsidTr="00D807F2">
        <w:tc>
          <w:tcPr>
            <w:tcW w:w="9640" w:type="dxa"/>
            <w:gridSpan w:val="3"/>
          </w:tcPr>
          <w:p w:rsidR="00397177" w:rsidRDefault="00397177" w:rsidP="00D807F2">
            <w:pPr>
              <w:jc w:val="center"/>
              <w:rPr>
                <w:sz w:val="24"/>
                <w:szCs w:val="24"/>
                <w:lang w:val="lv-LV"/>
              </w:rPr>
            </w:pPr>
            <w:r w:rsidRPr="00FE3CD0">
              <w:rPr>
                <w:b/>
                <w:sz w:val="24"/>
                <w:szCs w:val="24"/>
                <w:lang w:val="lv-LV"/>
              </w:rPr>
              <w:t>Skaidrojums Nr.1</w:t>
            </w:r>
            <w:r w:rsidRPr="00FE3CD0">
              <w:rPr>
                <w:sz w:val="24"/>
                <w:szCs w:val="24"/>
                <w:lang w:val="lv-LV"/>
              </w:rPr>
              <w:t xml:space="preserve"> </w:t>
            </w:r>
          </w:p>
          <w:p w:rsidR="00397177" w:rsidRPr="00FE3CD0" w:rsidRDefault="00397177" w:rsidP="00D807F2">
            <w:pPr>
              <w:jc w:val="center"/>
              <w:rPr>
                <w:b/>
                <w:sz w:val="24"/>
                <w:szCs w:val="24"/>
                <w:lang w:val="lv-LV"/>
              </w:rPr>
            </w:pPr>
            <w:r w:rsidRPr="00FE3CD0">
              <w:rPr>
                <w:sz w:val="24"/>
                <w:szCs w:val="24"/>
                <w:lang w:val="lv-LV"/>
              </w:rPr>
              <w:t xml:space="preserve">atklātam konkursam “Daugavpils šķirošanas stacijas attīstība: būvuzraudzība” (iepirkuma identifikācijas numurs: </w:t>
            </w:r>
            <w:r w:rsidRPr="00FE3CD0">
              <w:rPr>
                <w:bCs/>
                <w:sz w:val="24"/>
                <w:szCs w:val="24"/>
                <w:lang w:val="lv-LV"/>
              </w:rPr>
              <w:t>LDZ 2017/9-IB</w:t>
            </w:r>
            <w:r w:rsidRPr="00FE3CD0">
              <w:rPr>
                <w:sz w:val="24"/>
                <w:szCs w:val="24"/>
                <w:lang w:val="lv-LV"/>
              </w:rPr>
              <w:t>/6.2.1.2/16/I/002/02-01)</w:t>
            </w:r>
          </w:p>
        </w:tc>
      </w:tr>
      <w:tr w:rsidR="00397177" w:rsidRPr="00FE3CD0" w:rsidTr="00D807F2">
        <w:tc>
          <w:tcPr>
            <w:tcW w:w="993" w:type="dxa"/>
          </w:tcPr>
          <w:p w:rsidR="00397177" w:rsidRPr="00FE3CD0" w:rsidRDefault="00397177" w:rsidP="00D807F2">
            <w:pPr>
              <w:rPr>
                <w:b/>
                <w:sz w:val="24"/>
                <w:szCs w:val="24"/>
                <w:lang w:val="lv-LV"/>
              </w:rPr>
            </w:pPr>
            <w:proofErr w:type="spellStart"/>
            <w:r w:rsidRPr="00FE3CD0">
              <w:rPr>
                <w:b/>
                <w:sz w:val="24"/>
                <w:szCs w:val="24"/>
                <w:lang w:val="lv-LV"/>
              </w:rPr>
              <w:t>Nr.p.k</w:t>
            </w:r>
            <w:proofErr w:type="spellEnd"/>
            <w:r w:rsidRPr="00FE3CD0">
              <w:rPr>
                <w:b/>
                <w:sz w:val="24"/>
                <w:szCs w:val="24"/>
                <w:lang w:val="lv-LV"/>
              </w:rPr>
              <w:t>.</w:t>
            </w:r>
          </w:p>
        </w:tc>
        <w:tc>
          <w:tcPr>
            <w:tcW w:w="4111" w:type="dxa"/>
          </w:tcPr>
          <w:p w:rsidR="00397177" w:rsidRPr="00FE3CD0" w:rsidRDefault="00397177" w:rsidP="00D807F2">
            <w:pPr>
              <w:ind w:left="360"/>
              <w:jc w:val="center"/>
              <w:rPr>
                <w:b/>
                <w:sz w:val="24"/>
                <w:szCs w:val="24"/>
                <w:lang w:val="lv-LV"/>
              </w:rPr>
            </w:pPr>
            <w:r w:rsidRPr="00FE3CD0">
              <w:rPr>
                <w:b/>
                <w:sz w:val="24"/>
                <w:szCs w:val="24"/>
                <w:lang w:val="lv-LV"/>
              </w:rPr>
              <w:t>Jautājumi</w:t>
            </w:r>
          </w:p>
        </w:tc>
        <w:tc>
          <w:tcPr>
            <w:tcW w:w="4536" w:type="dxa"/>
          </w:tcPr>
          <w:p w:rsidR="00397177" w:rsidRPr="00FE3CD0" w:rsidRDefault="00397177" w:rsidP="00D807F2">
            <w:pPr>
              <w:jc w:val="center"/>
              <w:rPr>
                <w:b/>
                <w:sz w:val="24"/>
                <w:szCs w:val="24"/>
                <w:lang w:val="lv-LV"/>
              </w:rPr>
            </w:pPr>
            <w:r w:rsidRPr="00FE3CD0">
              <w:rPr>
                <w:b/>
                <w:sz w:val="24"/>
                <w:szCs w:val="24"/>
                <w:lang w:val="lv-LV"/>
              </w:rPr>
              <w:t>Atbildes</w:t>
            </w:r>
          </w:p>
        </w:tc>
      </w:tr>
      <w:tr w:rsidR="00397177" w:rsidRPr="00FE3CD0" w:rsidTr="00D807F2">
        <w:tc>
          <w:tcPr>
            <w:tcW w:w="993" w:type="dxa"/>
          </w:tcPr>
          <w:p w:rsidR="00397177" w:rsidRPr="00FE3CD0" w:rsidRDefault="00397177" w:rsidP="00D807F2">
            <w:pPr>
              <w:jc w:val="both"/>
              <w:rPr>
                <w:sz w:val="24"/>
                <w:szCs w:val="24"/>
                <w:lang w:val="lv-LV"/>
              </w:rPr>
            </w:pPr>
            <w:r w:rsidRPr="00FE3CD0">
              <w:rPr>
                <w:sz w:val="24"/>
                <w:szCs w:val="24"/>
                <w:lang w:val="lv-LV"/>
              </w:rPr>
              <w:t>1.</w:t>
            </w:r>
          </w:p>
          <w:p w:rsidR="00397177" w:rsidRPr="00FE3CD0" w:rsidRDefault="00397177" w:rsidP="00D807F2">
            <w:pPr>
              <w:jc w:val="both"/>
              <w:rPr>
                <w:sz w:val="24"/>
                <w:szCs w:val="24"/>
                <w:lang w:val="lv-LV"/>
              </w:rPr>
            </w:pPr>
          </w:p>
        </w:tc>
        <w:tc>
          <w:tcPr>
            <w:tcW w:w="4111" w:type="dxa"/>
          </w:tcPr>
          <w:p w:rsidR="00397177" w:rsidRPr="00FE3CD0" w:rsidRDefault="00397177" w:rsidP="00D807F2">
            <w:pPr>
              <w:rPr>
                <w:sz w:val="24"/>
                <w:szCs w:val="24"/>
                <w:lang w:val="lv-LV"/>
              </w:rPr>
            </w:pPr>
            <w:r w:rsidRPr="00FE3CD0">
              <w:rPr>
                <w:sz w:val="24"/>
                <w:szCs w:val="24"/>
                <w:lang w:val="lv-LV"/>
              </w:rPr>
              <w:t>Nolikuma 3.pielikuma “Darba uzdevums” 6.2. punktā attiecībā uz Dzelzceļa sliežu ceļu būvdarbu būvuzraugu - atbildīgo būvuzraugu ir noteikts, ka būvdarbu laikā atbildīgajam būvuzraugam jābūt pilna darba laika piesaistei. Vai atbildīgajam būvuzraugam jābūt piesaistītam objektā uz pilnu darba laiku tikai būvdarbu laikā vai arī projektēšanas laikā? Kā arī lūdzam noteikt kāds ir projektēšanas darbu ilgums un kāds ir būvdarbu ilgums.</w:t>
            </w:r>
          </w:p>
        </w:tc>
        <w:tc>
          <w:tcPr>
            <w:tcW w:w="4536" w:type="dxa"/>
          </w:tcPr>
          <w:p w:rsidR="00397177" w:rsidRPr="00FE3CD0" w:rsidRDefault="00397177" w:rsidP="00D807F2">
            <w:pPr>
              <w:rPr>
                <w:sz w:val="24"/>
                <w:szCs w:val="24"/>
                <w:lang w:val="lv-LV"/>
              </w:rPr>
            </w:pPr>
            <w:r w:rsidRPr="00FE3CD0">
              <w:rPr>
                <w:sz w:val="24"/>
                <w:szCs w:val="24"/>
                <w:lang w:val="lv-LV"/>
              </w:rPr>
              <w:t>Būvdarbu laikā atbildīgajam būvuzraugam jābūt pilna darba laika piesaistei. Projektēšanas laikā nav nepieciešama viņa pilna darba laika piesaiste.</w:t>
            </w:r>
          </w:p>
          <w:p w:rsidR="00397177" w:rsidRPr="00FE3CD0" w:rsidRDefault="00397177" w:rsidP="00D807F2">
            <w:pPr>
              <w:rPr>
                <w:sz w:val="24"/>
                <w:szCs w:val="24"/>
                <w:lang w:val="lv-LV"/>
              </w:rPr>
            </w:pPr>
            <w:r w:rsidRPr="00FE3CD0">
              <w:rPr>
                <w:sz w:val="24"/>
                <w:szCs w:val="24"/>
                <w:lang w:val="lv-LV"/>
              </w:rPr>
              <w:t>Atbilstoši Nolikuma 3.pielikuma 5.2.punktam „Daugavpils šķirošanas stacijas attīstība: būvniecība” būvniecības projekta izstrādes, būvlaukuma sagatavošanas un būvdarbu izpildes laiks Darba līgumā ir 36 (trīsdesmit seši) mēneši.</w:t>
            </w:r>
          </w:p>
          <w:p w:rsidR="00397177" w:rsidRPr="00FE3CD0" w:rsidRDefault="00397177" w:rsidP="00D807F2">
            <w:pPr>
              <w:rPr>
                <w:sz w:val="24"/>
                <w:szCs w:val="24"/>
                <w:lang w:val="lv-LV"/>
              </w:rPr>
            </w:pPr>
            <w:r w:rsidRPr="00FE3CD0">
              <w:rPr>
                <w:sz w:val="24"/>
                <w:szCs w:val="24"/>
                <w:lang w:val="lv-LV"/>
              </w:rPr>
              <w:t>Projektēšanas un būvdarbu izpildes laiks noteikts Darbu līgumā, tas ir atkarīgs no Uzņēmēja un to kontrolē Inženieris. Starp šiem diviem posmiem nav striktas robežas (izprojektētā būvprojekta precizēšana būvdarbu laikā), kā arī katram Uzņēmējam var būt atšķirīgas Darbu līguma izpildes pieejas, ko pieļauj arī Latvijas Republikas spēkā esošie normatīvie akti.</w:t>
            </w:r>
          </w:p>
        </w:tc>
      </w:tr>
      <w:tr w:rsidR="00397177" w:rsidRPr="00FE3CD0" w:rsidTr="00D807F2">
        <w:tc>
          <w:tcPr>
            <w:tcW w:w="993" w:type="dxa"/>
          </w:tcPr>
          <w:p w:rsidR="00397177" w:rsidRPr="00FE3CD0" w:rsidRDefault="00397177" w:rsidP="00D807F2">
            <w:pPr>
              <w:jc w:val="both"/>
              <w:rPr>
                <w:sz w:val="24"/>
                <w:szCs w:val="24"/>
                <w:lang w:val="lv-LV"/>
              </w:rPr>
            </w:pPr>
            <w:r w:rsidRPr="00FE3CD0">
              <w:rPr>
                <w:sz w:val="24"/>
                <w:szCs w:val="24"/>
                <w:lang w:val="lv-LV"/>
              </w:rPr>
              <w:t>2.</w:t>
            </w:r>
          </w:p>
          <w:p w:rsidR="00397177" w:rsidRPr="00FE3CD0" w:rsidRDefault="00397177" w:rsidP="00D807F2">
            <w:pPr>
              <w:jc w:val="both"/>
              <w:rPr>
                <w:sz w:val="24"/>
                <w:szCs w:val="24"/>
                <w:lang w:val="lv-LV"/>
              </w:rPr>
            </w:pPr>
          </w:p>
        </w:tc>
        <w:tc>
          <w:tcPr>
            <w:tcW w:w="4111" w:type="dxa"/>
          </w:tcPr>
          <w:p w:rsidR="00397177" w:rsidRPr="00FE3CD0" w:rsidRDefault="00397177" w:rsidP="00D807F2">
            <w:pPr>
              <w:rPr>
                <w:sz w:val="24"/>
                <w:szCs w:val="24"/>
                <w:lang w:val="lv-LV"/>
              </w:rPr>
            </w:pPr>
            <w:r w:rsidRPr="00FE3CD0">
              <w:rPr>
                <w:sz w:val="24"/>
                <w:szCs w:val="24"/>
                <w:lang w:val="lv-LV"/>
              </w:rPr>
              <w:t>Nolikuma 3.pielikuma “Darba uzdevums” 6.2. punktā attiecībā uz siltumapgādes, ventilācijas un gaisa kondicionēšanas sistēmu būvdarbu būvuzraugu ir noteikts, ka viņam jābūt vismaz divos objektos veicis siltumapgādes, ventilācijas un gaisa kondicionēšanas sistēmu (t.sk. centralizētās AVK (apvienotā ventilācija un kondicionēšana), apkures sistēmas, gāzes katli, siltummezgli) būvdarbu būvuzraudzību, kuri nodoti ekspluatācijā. Ievērojot to, ka gāzes katlu būvdarbu būvuzraudzību parasti veic gāzes apgādes sistēmu būvdarbu būvuzraugs, lūdzam izslēgt vārdus “gāzes katli”.</w:t>
            </w:r>
          </w:p>
        </w:tc>
        <w:tc>
          <w:tcPr>
            <w:tcW w:w="4536" w:type="dxa"/>
          </w:tcPr>
          <w:p w:rsidR="00397177" w:rsidRPr="00663CB1" w:rsidRDefault="00397177" w:rsidP="00D807F2">
            <w:pPr>
              <w:spacing w:after="120"/>
              <w:rPr>
                <w:sz w:val="24"/>
                <w:szCs w:val="24"/>
                <w:lang w:val="lv-LV"/>
              </w:rPr>
            </w:pPr>
            <w:r w:rsidRPr="00663CB1">
              <w:rPr>
                <w:sz w:val="24"/>
                <w:szCs w:val="24"/>
                <w:lang w:val="lv-LV"/>
              </w:rPr>
              <w:t xml:space="preserve">Siltumapgādes, ventilācijas un gaisa kondicionēšanas sistēmu būvdarbu būvuzraugam jābūt pieredzei dažādu siltumapgādes veidu (t.sk. centrālās apkures sistēmās un lokālās ar gāzes katlu izmantošanu) darbu būvuzraudzībā. Būvuzraugam jānodrošina arī specializēto telpu (t.sk. centralizētās apkures sistēmas, gāzes katlu, siltummezglu  telpu) ventilācijas darbu būvuzraudzība. </w:t>
            </w:r>
          </w:p>
          <w:p w:rsidR="00397177" w:rsidRPr="00663CB1" w:rsidRDefault="00397177" w:rsidP="00D807F2">
            <w:pPr>
              <w:spacing w:after="120"/>
              <w:rPr>
                <w:sz w:val="24"/>
                <w:szCs w:val="24"/>
                <w:lang w:val="lv-LV"/>
              </w:rPr>
            </w:pPr>
            <w:r w:rsidRPr="00663CB1">
              <w:rPr>
                <w:sz w:val="24"/>
                <w:szCs w:val="24"/>
                <w:lang w:val="lv-LV"/>
              </w:rPr>
              <w:t>Prasība tiek saglabāta līdzšinējā redakcijā.</w:t>
            </w:r>
          </w:p>
          <w:p w:rsidR="00397177" w:rsidRPr="00FE3CD0" w:rsidRDefault="00397177" w:rsidP="00D807F2">
            <w:pPr>
              <w:spacing w:after="120"/>
              <w:rPr>
                <w:b/>
                <w:i/>
                <w:color w:val="000000"/>
                <w:sz w:val="24"/>
                <w:szCs w:val="24"/>
                <w:u w:val="single"/>
                <w:lang w:val="lv-LV"/>
              </w:rPr>
            </w:pPr>
          </w:p>
        </w:tc>
      </w:tr>
      <w:tr w:rsidR="00397177" w:rsidRPr="00FE3CD0" w:rsidTr="00D807F2">
        <w:tc>
          <w:tcPr>
            <w:tcW w:w="993" w:type="dxa"/>
          </w:tcPr>
          <w:p w:rsidR="00397177" w:rsidRPr="00FE3CD0" w:rsidRDefault="00397177" w:rsidP="00D807F2">
            <w:pPr>
              <w:jc w:val="both"/>
              <w:rPr>
                <w:sz w:val="24"/>
                <w:szCs w:val="24"/>
                <w:lang w:val="lv-LV"/>
              </w:rPr>
            </w:pPr>
            <w:r w:rsidRPr="00FE3CD0">
              <w:rPr>
                <w:sz w:val="24"/>
                <w:szCs w:val="24"/>
                <w:lang w:val="lv-LV"/>
              </w:rPr>
              <w:t>3.</w:t>
            </w:r>
          </w:p>
          <w:p w:rsidR="00397177" w:rsidRPr="00FE3CD0" w:rsidRDefault="00397177" w:rsidP="00D807F2">
            <w:pPr>
              <w:jc w:val="both"/>
              <w:rPr>
                <w:sz w:val="24"/>
                <w:szCs w:val="24"/>
                <w:lang w:val="lv-LV"/>
              </w:rPr>
            </w:pPr>
          </w:p>
        </w:tc>
        <w:tc>
          <w:tcPr>
            <w:tcW w:w="4111" w:type="dxa"/>
          </w:tcPr>
          <w:p w:rsidR="00397177" w:rsidRPr="00FE3CD0" w:rsidRDefault="00397177" w:rsidP="00D807F2">
            <w:pPr>
              <w:rPr>
                <w:sz w:val="24"/>
                <w:szCs w:val="24"/>
                <w:lang w:val="lv-LV"/>
              </w:rPr>
            </w:pPr>
            <w:r w:rsidRPr="00FE3CD0">
              <w:rPr>
                <w:sz w:val="24"/>
                <w:szCs w:val="24"/>
                <w:lang w:val="lv-LV"/>
              </w:rPr>
              <w:t xml:space="preserve">Nolikuma 3.pielikuma “Darba uzdevums” 6.3. punktā ir noteikts, ka kopējam plānotajam Inženiera cilvēkdienu skaitam ir jābūt ne mazākam par 2300 dienām. Vai kopējais Inženiera cilvēkdienu skaits iekļauj sevī arī darbu birojā, piemēram projektēšanas laikā vai būvdarbu laikā dokumentācijas sagatavošanai? Ja jā, </w:t>
            </w:r>
            <w:r w:rsidRPr="00FE3CD0">
              <w:rPr>
                <w:sz w:val="24"/>
                <w:szCs w:val="24"/>
                <w:lang w:val="lv-LV"/>
              </w:rPr>
              <w:lastRenderedPageBreak/>
              <w:t>tad kā tiks veikta faktiska cilvēkdienu uzskaite līguma izpildes laikā?</w:t>
            </w:r>
          </w:p>
        </w:tc>
        <w:tc>
          <w:tcPr>
            <w:tcW w:w="4536" w:type="dxa"/>
          </w:tcPr>
          <w:p w:rsidR="00397177" w:rsidRPr="00FE3CD0" w:rsidRDefault="00397177" w:rsidP="00D807F2">
            <w:pPr>
              <w:rPr>
                <w:sz w:val="24"/>
                <w:szCs w:val="24"/>
                <w:lang w:val="lv-LV"/>
              </w:rPr>
            </w:pPr>
            <w:r w:rsidRPr="00FE3CD0">
              <w:rPr>
                <w:sz w:val="24"/>
                <w:szCs w:val="24"/>
                <w:lang w:val="lv-LV"/>
              </w:rPr>
              <w:lastRenderedPageBreak/>
              <w:t>Kopējā Inženiera cilvēkdienu skaitā iekļaujamas arī darba stundas birojā.</w:t>
            </w:r>
          </w:p>
          <w:p w:rsidR="00397177" w:rsidRPr="00FE3CD0" w:rsidRDefault="00397177" w:rsidP="00D807F2">
            <w:pPr>
              <w:rPr>
                <w:sz w:val="24"/>
                <w:szCs w:val="24"/>
                <w:lang w:val="lv-LV"/>
              </w:rPr>
            </w:pPr>
          </w:p>
          <w:p w:rsidR="00397177" w:rsidRPr="00FE3CD0" w:rsidRDefault="00397177" w:rsidP="00D807F2">
            <w:pPr>
              <w:rPr>
                <w:sz w:val="24"/>
                <w:szCs w:val="24"/>
                <w:lang w:val="lv-LV"/>
              </w:rPr>
            </w:pPr>
            <w:r w:rsidRPr="00FE3CD0">
              <w:rPr>
                <w:sz w:val="24"/>
                <w:szCs w:val="24"/>
                <w:lang w:val="lv-LV"/>
              </w:rPr>
              <w:t>Inženierim jāveic katra speciālista cilvēkdienu uzskaite un jāiesniedz Pasūtītājam saskaņā ar Līgumu.</w:t>
            </w:r>
          </w:p>
        </w:tc>
      </w:tr>
      <w:tr w:rsidR="00397177" w:rsidRPr="00FE3CD0" w:rsidTr="00D807F2">
        <w:tc>
          <w:tcPr>
            <w:tcW w:w="993" w:type="dxa"/>
          </w:tcPr>
          <w:p w:rsidR="00397177" w:rsidRPr="00FE3CD0" w:rsidRDefault="00397177" w:rsidP="00D807F2">
            <w:pPr>
              <w:jc w:val="both"/>
              <w:rPr>
                <w:sz w:val="24"/>
                <w:szCs w:val="24"/>
                <w:lang w:val="lv-LV"/>
              </w:rPr>
            </w:pPr>
            <w:r w:rsidRPr="00FE3CD0">
              <w:rPr>
                <w:sz w:val="24"/>
                <w:szCs w:val="24"/>
                <w:lang w:val="lv-LV"/>
              </w:rPr>
              <w:t>4.</w:t>
            </w:r>
          </w:p>
          <w:p w:rsidR="00397177" w:rsidRPr="00FE3CD0" w:rsidRDefault="00397177" w:rsidP="00D807F2">
            <w:pPr>
              <w:jc w:val="both"/>
              <w:rPr>
                <w:sz w:val="24"/>
                <w:szCs w:val="24"/>
                <w:lang w:val="lv-LV"/>
              </w:rPr>
            </w:pPr>
          </w:p>
        </w:tc>
        <w:tc>
          <w:tcPr>
            <w:tcW w:w="4111" w:type="dxa"/>
          </w:tcPr>
          <w:p w:rsidR="00397177" w:rsidRPr="00FE3CD0" w:rsidRDefault="00397177" w:rsidP="00D807F2">
            <w:pPr>
              <w:rPr>
                <w:sz w:val="24"/>
                <w:szCs w:val="24"/>
                <w:lang w:val="lv-LV"/>
              </w:rPr>
            </w:pPr>
            <w:r w:rsidRPr="00FE3CD0">
              <w:rPr>
                <w:sz w:val="24"/>
                <w:szCs w:val="24"/>
                <w:lang w:val="lv-LV"/>
              </w:rPr>
              <w:t>Nolikuma 4.2.punktā ir teikts, ka Pasūtītājs pieņem EVIPD  kā sākotnējo pierādījumu atbilstībai paziņojumā par līgumu vai iepirkuma procedūras dokumentos noteiktajām pretendentu atlases prasībām. No nolikuma 5.2.5.3.punktā minētā var secināt, ka EVIPD iesniegšanas gadījumā nav jāiesniedz nolikuma 1.8.punktā prasītie dokumenti. Lūdzam Jūs precizēt, kuros nolikuma punktos (vai kuros 1.pielikuma punktos) prasītie dokumenti nav jāiesniedz, ja tiek iesniegts Eiropas vienotais iepirkuma procedūras dokuments.</w:t>
            </w:r>
          </w:p>
        </w:tc>
        <w:tc>
          <w:tcPr>
            <w:tcW w:w="4536" w:type="dxa"/>
          </w:tcPr>
          <w:p w:rsidR="00397177" w:rsidRPr="00FE3CD0" w:rsidRDefault="00397177" w:rsidP="00D807F2">
            <w:pPr>
              <w:pStyle w:val="TekstsN2"/>
              <w:numPr>
                <w:ilvl w:val="0"/>
                <w:numId w:val="0"/>
              </w:numPr>
              <w:jc w:val="left"/>
            </w:pPr>
            <w:r w:rsidRPr="00FE3CD0">
              <w:t xml:space="preserve">Nolikuma 5.2.5.punktā teikts: pēc konkursa nolikuma 5.2.1.-5.2.4.punktā minētajām pārbaudēm komisija piedāvājumus izvērtē un </w:t>
            </w:r>
            <w:r w:rsidRPr="00FE3CD0">
              <w:rPr>
                <w:u w:val="single"/>
              </w:rPr>
              <w:t>pirms konkursa uzvarētāja apstiprināšanas pieprasa pretendentam</w:t>
            </w:r>
            <w:r w:rsidRPr="00FE3CD0">
              <w:t xml:space="preserve">, kura piedāvājums atbilst konkursa nolikuma prasībām un ir ar viszemāko cenu, </w:t>
            </w:r>
            <w:r w:rsidRPr="00FE3CD0">
              <w:rPr>
                <w:u w:val="single"/>
              </w:rPr>
              <w:t>iesniegt</w:t>
            </w:r>
            <w:r w:rsidRPr="00FE3CD0">
              <w:t xml:space="preserve">: (..) 5.2.5.3. pretendentam, kurš izvēlējies iesniegt EVIPD saskaņā ar nolikuma 4.2.punktu, </w:t>
            </w:r>
            <w:r w:rsidRPr="00FE3CD0">
              <w:rPr>
                <w:u w:val="single"/>
              </w:rPr>
              <w:t>nolikuma 1.8.punktā noteiktos dokumentus</w:t>
            </w:r>
            <w:r w:rsidRPr="00FE3CD0">
              <w:t>.</w:t>
            </w:r>
          </w:p>
          <w:p w:rsidR="00397177" w:rsidRPr="00FE3CD0" w:rsidRDefault="00397177" w:rsidP="00D807F2">
            <w:pPr>
              <w:pStyle w:val="normal0"/>
              <w:textAlignment w:val="baseline"/>
              <w:rPr>
                <w:highlight w:val="yellow"/>
              </w:rPr>
            </w:pPr>
            <w:r w:rsidRPr="00FE3CD0">
              <w:rPr>
                <w:shd w:val="clear" w:color="auto" w:fill="FFFFFF"/>
              </w:rPr>
              <w:t>Vienlaikus vēršam uzmanību, ka saskaņā ar Sabiedrisko pakalpojumu sniedzēju iepirkumu likuma 47.panta 2.</w:t>
            </w:r>
            <w:r w:rsidRPr="00FE3CD0">
              <w:rPr>
                <w:shd w:val="clear" w:color="auto" w:fill="FFFFFF"/>
                <w:vertAlign w:val="superscript"/>
              </w:rPr>
              <w:t xml:space="preserve">1 </w:t>
            </w:r>
            <w:r w:rsidRPr="00FE3CD0">
              <w:rPr>
                <w:shd w:val="clear" w:color="auto" w:fill="FFFFFF"/>
              </w:rPr>
              <w:t xml:space="preserve">daļu </w:t>
            </w:r>
            <w:r w:rsidRPr="00FE3CD0">
              <w:rPr>
                <w:i/>
                <w:iCs/>
                <w:shd w:val="clear" w:color="auto" w:fill="FFFFFF"/>
              </w:rPr>
              <w:t>Sabiedrisko pakalpojumu sniedzējam jebkurā iepirkuma procedūras stadijā ir tiesības prasīt, lai pretendents un kandidāts iesniedz visus dokumentus vai daļu no tiem, kas apliecina tā atbilstību paziņojumā par līgumu vai iepirkuma procedūras dokumentos noteiktajām pretendentu un kandidātu atlases prasībām. Sabiedrisko pakalpojumu sniedzējs nepieprasa tādus dokumentus un informāciju, kas jau ir tā rīcībā vai pieejama publiskajās datubāzēs.</w:t>
            </w:r>
          </w:p>
        </w:tc>
      </w:tr>
    </w:tbl>
    <w:p w:rsidR="007634C2" w:rsidRPr="00397177" w:rsidRDefault="007634C2">
      <w:pPr>
        <w:rPr>
          <w:lang w:val="lv-LV"/>
        </w:rPr>
      </w:pPr>
      <w:bookmarkStart w:id="0" w:name="_GoBack"/>
      <w:bookmarkEnd w:id="0"/>
    </w:p>
    <w:sectPr w:rsidR="007634C2" w:rsidRPr="003971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537"/>
    <w:rsid w:val="00043537"/>
    <w:rsid w:val="00397177"/>
    <w:rsid w:val="007634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E43E7-17D2-418D-8278-59F517CC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17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N">
    <w:name w:val="TekstsN"/>
    <w:basedOn w:val="Normal"/>
    <w:rsid w:val="00397177"/>
    <w:pPr>
      <w:numPr>
        <w:ilvl w:val="1"/>
        <w:numId w:val="1"/>
      </w:numPr>
      <w:tabs>
        <w:tab w:val="left" w:pos="709"/>
      </w:tabs>
      <w:ind w:left="709" w:hanging="709"/>
      <w:jc w:val="both"/>
    </w:pPr>
    <w:rPr>
      <w:iCs/>
      <w:sz w:val="24"/>
      <w:szCs w:val="24"/>
      <w:lang w:val="lv-LV" w:eastAsia="ar-SA"/>
    </w:rPr>
  </w:style>
  <w:style w:type="paragraph" w:customStyle="1" w:styleId="TekstsN2">
    <w:name w:val="TekstsN2"/>
    <w:basedOn w:val="Normal"/>
    <w:rsid w:val="00397177"/>
    <w:pPr>
      <w:numPr>
        <w:ilvl w:val="2"/>
        <w:numId w:val="1"/>
      </w:numPr>
      <w:tabs>
        <w:tab w:val="left" w:pos="709"/>
        <w:tab w:val="left" w:pos="992"/>
      </w:tabs>
      <w:ind w:left="720" w:hanging="720"/>
      <w:jc w:val="both"/>
    </w:pPr>
    <w:rPr>
      <w:iCs/>
      <w:sz w:val="24"/>
      <w:szCs w:val="24"/>
      <w:lang w:val="lv-LV" w:eastAsia="ar-SA"/>
    </w:rPr>
  </w:style>
  <w:style w:type="paragraph" w:customStyle="1" w:styleId="TekstsN3">
    <w:name w:val="TekstsN3"/>
    <w:basedOn w:val="Normal"/>
    <w:rsid w:val="00397177"/>
    <w:pPr>
      <w:numPr>
        <w:ilvl w:val="3"/>
        <w:numId w:val="1"/>
      </w:numPr>
      <w:tabs>
        <w:tab w:val="left" w:pos="1134"/>
      </w:tabs>
      <w:ind w:left="709" w:hanging="709"/>
      <w:jc w:val="both"/>
    </w:pPr>
    <w:rPr>
      <w:iCs/>
      <w:sz w:val="24"/>
      <w:szCs w:val="24"/>
      <w:lang w:val="lv-LV" w:eastAsia="ar-SA"/>
    </w:rPr>
  </w:style>
  <w:style w:type="paragraph" w:customStyle="1" w:styleId="TekstsN4">
    <w:name w:val="TekstsN4"/>
    <w:basedOn w:val="Normal"/>
    <w:rsid w:val="00397177"/>
    <w:pPr>
      <w:numPr>
        <w:ilvl w:val="4"/>
        <w:numId w:val="1"/>
      </w:numPr>
      <w:tabs>
        <w:tab w:val="left" w:pos="426"/>
      </w:tabs>
      <w:ind w:left="709" w:hanging="709"/>
      <w:jc w:val="both"/>
    </w:pPr>
    <w:rPr>
      <w:iCs/>
      <w:sz w:val="24"/>
      <w:szCs w:val="24"/>
      <w:lang w:val="lv-LV" w:eastAsia="ar-SA"/>
    </w:rPr>
  </w:style>
  <w:style w:type="paragraph" w:customStyle="1" w:styleId="normal0">
    <w:name w:val="normal"/>
    <w:basedOn w:val="Normal"/>
    <w:rsid w:val="00397177"/>
    <w:pPr>
      <w:spacing w:before="100" w:beforeAutospacing="1" w:after="100" w:afterAutospacing="1"/>
    </w:pPr>
    <w:rPr>
      <w:rFonts w:eastAsia="Calibri"/>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2805</Words>
  <Characters>1600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2</cp:revision>
  <dcterms:created xsi:type="dcterms:W3CDTF">2017-04-24T12:36:00Z</dcterms:created>
  <dcterms:modified xsi:type="dcterms:W3CDTF">2017-04-24T12:36:00Z</dcterms:modified>
</cp:coreProperties>
</file>