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EDD2A" w14:textId="77777777" w:rsidR="00821A57" w:rsidRPr="00151230" w:rsidRDefault="00821A57" w:rsidP="00821A57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bookmarkStart w:id="0" w:name="_GoBack"/>
      <w:bookmarkEnd w:id="0"/>
      <w:r w:rsidRPr="00151230">
        <w:rPr>
          <w:i/>
          <w:sz w:val="24"/>
          <w:szCs w:val="24"/>
        </w:rPr>
        <w:t>APSTIPRINĀTS:</w:t>
      </w:r>
    </w:p>
    <w:p w14:paraId="2AD7578C" w14:textId="4D1B3A03" w:rsidR="00821A57" w:rsidRPr="00151230" w:rsidRDefault="00821A57" w:rsidP="00821A57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r w:rsidRPr="00151230">
        <w:rPr>
          <w:i/>
          <w:sz w:val="24"/>
          <w:szCs w:val="24"/>
        </w:rPr>
        <w:t xml:space="preserve">ar iepirkuma komisijas </w:t>
      </w:r>
      <w:r w:rsidRPr="00151230">
        <w:rPr>
          <w:rFonts w:eastAsia="Arial Unicode MS"/>
          <w:i/>
          <w:sz w:val="24"/>
        </w:rPr>
        <w:t>20</w:t>
      </w:r>
      <w:r w:rsidR="00522016">
        <w:rPr>
          <w:rFonts w:eastAsia="Arial Unicode MS"/>
          <w:i/>
          <w:sz w:val="24"/>
        </w:rPr>
        <w:t>20</w:t>
      </w:r>
      <w:r w:rsidRPr="00151230">
        <w:rPr>
          <w:rFonts w:eastAsia="Arial Unicode MS"/>
          <w:i/>
          <w:sz w:val="24"/>
        </w:rPr>
        <w:t xml:space="preserve">.gada </w:t>
      </w:r>
      <w:r w:rsidR="00522016">
        <w:rPr>
          <w:rFonts w:eastAsia="Arial Unicode MS"/>
          <w:i/>
          <w:sz w:val="24"/>
        </w:rPr>
        <w:t>08</w:t>
      </w:r>
      <w:r w:rsidRPr="00151230">
        <w:rPr>
          <w:rFonts w:eastAsia="Arial Unicode MS"/>
          <w:i/>
          <w:sz w:val="24"/>
        </w:rPr>
        <w:t>.</w:t>
      </w:r>
      <w:r w:rsidR="00522016">
        <w:rPr>
          <w:rFonts w:eastAsia="Arial Unicode MS"/>
          <w:i/>
          <w:sz w:val="24"/>
        </w:rPr>
        <w:t>janvār</w:t>
      </w:r>
      <w:r>
        <w:rPr>
          <w:rFonts w:eastAsia="Arial Unicode MS"/>
          <w:i/>
          <w:sz w:val="24"/>
        </w:rPr>
        <w:t>a</w:t>
      </w:r>
      <w:r w:rsidRPr="00151230">
        <w:rPr>
          <w:rFonts w:eastAsia="Arial Unicode MS"/>
          <w:i/>
          <w:sz w:val="24"/>
        </w:rPr>
        <w:t xml:space="preserve"> </w:t>
      </w:r>
    </w:p>
    <w:p w14:paraId="22464DAF" w14:textId="77777777" w:rsidR="00821A57" w:rsidRPr="001A3CAD" w:rsidRDefault="00821A57" w:rsidP="00821A57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r w:rsidRPr="001A3CAD">
        <w:rPr>
          <w:rFonts w:eastAsia="Arial Unicode MS"/>
          <w:i/>
          <w:sz w:val="24"/>
        </w:rPr>
        <w:t>sēdes protokolu Nr.</w:t>
      </w:r>
      <w:r>
        <w:rPr>
          <w:rFonts w:eastAsia="Arial Unicode MS"/>
          <w:i/>
          <w:sz w:val="24"/>
        </w:rPr>
        <w:t>2</w:t>
      </w:r>
    </w:p>
    <w:p w14:paraId="7E1EF269" w14:textId="77777777" w:rsidR="00821A57" w:rsidRPr="001A3CAD" w:rsidRDefault="00821A57" w:rsidP="00821A57">
      <w:pPr>
        <w:tabs>
          <w:tab w:val="left" w:pos="3760"/>
        </w:tabs>
        <w:ind w:right="282"/>
        <w:jc w:val="both"/>
        <w:rPr>
          <w:b/>
          <w:sz w:val="24"/>
          <w:szCs w:val="24"/>
        </w:rPr>
      </w:pPr>
    </w:p>
    <w:p w14:paraId="04469D0F" w14:textId="77777777" w:rsidR="00821A57" w:rsidRPr="001A3CAD" w:rsidRDefault="00821A57" w:rsidP="00821A57">
      <w:pPr>
        <w:tabs>
          <w:tab w:val="left" w:pos="3760"/>
        </w:tabs>
        <w:ind w:left="-284" w:right="282"/>
        <w:jc w:val="center"/>
        <w:rPr>
          <w:b/>
          <w:sz w:val="24"/>
          <w:szCs w:val="24"/>
        </w:rPr>
      </w:pPr>
    </w:p>
    <w:p w14:paraId="2404061E" w14:textId="308EE2C8" w:rsidR="00821A57" w:rsidRDefault="00821A57" w:rsidP="00821A57">
      <w:pPr>
        <w:jc w:val="center"/>
        <w:rPr>
          <w:b/>
          <w:sz w:val="24"/>
          <w:lang w:eastAsia="en-US"/>
        </w:rPr>
      </w:pPr>
      <w:r w:rsidRPr="001A3CAD">
        <w:rPr>
          <w:b/>
          <w:sz w:val="24"/>
        </w:rPr>
        <w:t>SKAIDROJUMS Nr.</w:t>
      </w:r>
      <w:r w:rsidR="00522016">
        <w:rPr>
          <w:b/>
          <w:sz w:val="24"/>
        </w:rPr>
        <w:t>2</w:t>
      </w:r>
    </w:p>
    <w:p w14:paraId="496B732E" w14:textId="77777777" w:rsidR="00821A57" w:rsidRPr="003957DA" w:rsidRDefault="00821A57" w:rsidP="00821A57">
      <w:pPr>
        <w:jc w:val="center"/>
        <w:rPr>
          <w:b/>
          <w:sz w:val="24"/>
          <w:lang w:eastAsia="en-US"/>
        </w:rPr>
      </w:pPr>
      <w:r w:rsidRPr="003957DA">
        <w:rPr>
          <w:b/>
          <w:sz w:val="24"/>
          <w:lang w:eastAsia="en-US"/>
        </w:rPr>
        <w:t>VAS “Latvijas dzelzceļš” organizēt</w:t>
      </w:r>
      <w:r>
        <w:rPr>
          <w:b/>
          <w:sz w:val="24"/>
          <w:lang w:eastAsia="en-US"/>
        </w:rPr>
        <w:t>ajai</w:t>
      </w:r>
    </w:p>
    <w:p w14:paraId="3A2E9416" w14:textId="77777777" w:rsidR="00821A57" w:rsidRPr="00CD0BEE" w:rsidRDefault="00821A57" w:rsidP="00821A57">
      <w:pPr>
        <w:ind w:left="142" w:right="-1"/>
        <w:jc w:val="center"/>
        <w:rPr>
          <w:b/>
          <w:sz w:val="24"/>
          <w:szCs w:val="24"/>
          <w:lang w:eastAsia="en-US"/>
        </w:rPr>
      </w:pPr>
      <w:r w:rsidRPr="00CD0BEE">
        <w:rPr>
          <w:b/>
          <w:sz w:val="24"/>
          <w:szCs w:val="24"/>
          <w:lang w:eastAsia="en-US"/>
        </w:rPr>
        <w:t>sarunu procedūra</w:t>
      </w:r>
      <w:r>
        <w:rPr>
          <w:b/>
          <w:sz w:val="24"/>
          <w:szCs w:val="24"/>
          <w:lang w:eastAsia="en-US"/>
        </w:rPr>
        <w:t>i</w:t>
      </w:r>
      <w:r w:rsidRPr="00CD0BEE">
        <w:rPr>
          <w:b/>
          <w:sz w:val="24"/>
          <w:szCs w:val="24"/>
          <w:lang w:eastAsia="en-US"/>
        </w:rPr>
        <w:t xml:space="preserve"> ar publikāciju</w:t>
      </w:r>
    </w:p>
    <w:p w14:paraId="27F3EACF" w14:textId="54F0FAF7" w:rsidR="00821A57" w:rsidRPr="001A3CAD" w:rsidRDefault="00821A57" w:rsidP="00821A57">
      <w:pPr>
        <w:ind w:left="284" w:right="-1"/>
        <w:jc w:val="center"/>
        <w:rPr>
          <w:sz w:val="24"/>
        </w:rPr>
      </w:pPr>
      <w:r w:rsidRPr="00CD0BEE">
        <w:rPr>
          <w:b/>
          <w:sz w:val="24"/>
          <w:szCs w:val="24"/>
          <w:lang w:eastAsia="en-US"/>
        </w:rPr>
        <w:t>„</w:t>
      </w:r>
      <w:r w:rsidRPr="00821A57">
        <w:rPr>
          <w:b/>
          <w:sz w:val="24"/>
          <w:szCs w:val="24"/>
          <w:lang w:eastAsia="en-US"/>
        </w:rPr>
        <w:t>Vilces apakšstaciju iekārtu atjaunošana</w:t>
      </w:r>
      <w:r w:rsidRPr="00CD0BEE">
        <w:rPr>
          <w:b/>
          <w:sz w:val="24"/>
          <w:szCs w:val="24"/>
          <w:lang w:eastAsia="en-US"/>
        </w:rPr>
        <w:t>”</w:t>
      </w:r>
    </w:p>
    <w:p w14:paraId="5383C05E" w14:textId="77777777" w:rsidR="00821A57" w:rsidRDefault="00821A57" w:rsidP="00821A57">
      <w:pPr>
        <w:ind w:left="284" w:right="282"/>
        <w:jc w:val="center"/>
        <w:rPr>
          <w:b/>
          <w:sz w:val="24"/>
        </w:rPr>
      </w:pPr>
    </w:p>
    <w:p w14:paraId="0077C6B2" w14:textId="77777777" w:rsidR="00821A57" w:rsidRPr="00FC29CF" w:rsidRDefault="00821A57" w:rsidP="00821A57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704"/>
        <w:gridCol w:w="3969"/>
        <w:gridCol w:w="4541"/>
      </w:tblGrid>
      <w:tr w:rsidR="00821A57" w:rsidRPr="00FC29CF" w14:paraId="5CA0CD08" w14:textId="77777777" w:rsidTr="00CD4346">
        <w:trPr>
          <w:trHeight w:val="655"/>
        </w:trPr>
        <w:tc>
          <w:tcPr>
            <w:tcW w:w="704" w:type="dxa"/>
            <w:shd w:val="clear" w:color="auto" w:fill="FFF2CC"/>
            <w:vAlign w:val="center"/>
          </w:tcPr>
          <w:p w14:paraId="0E0E4766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sz w:val="22"/>
                <w:szCs w:val="22"/>
                <w:lang w:eastAsia="en-US"/>
              </w:rPr>
              <w:t>Nr.</w:t>
            </w:r>
          </w:p>
          <w:p w14:paraId="54D5D864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sz w:val="22"/>
                <w:szCs w:val="22"/>
                <w:lang w:eastAsia="en-US"/>
              </w:rPr>
              <w:t>p.k.</w:t>
            </w:r>
          </w:p>
        </w:tc>
        <w:tc>
          <w:tcPr>
            <w:tcW w:w="3969" w:type="dxa"/>
            <w:shd w:val="clear" w:color="auto" w:fill="FFF2CC"/>
            <w:vAlign w:val="center"/>
          </w:tcPr>
          <w:p w14:paraId="2ADB4C7C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Jautājumi</w:t>
            </w:r>
          </w:p>
        </w:tc>
        <w:tc>
          <w:tcPr>
            <w:tcW w:w="4541" w:type="dxa"/>
            <w:shd w:val="clear" w:color="auto" w:fill="E5DFEC" w:themeFill="accent4" w:themeFillTint="33"/>
            <w:vAlign w:val="center"/>
          </w:tcPr>
          <w:p w14:paraId="3A11EC3E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Atbildes</w:t>
            </w:r>
          </w:p>
        </w:tc>
      </w:tr>
      <w:tr w:rsidR="00821A57" w:rsidRPr="00FC29CF" w14:paraId="061301E1" w14:textId="77777777" w:rsidTr="00CD4346">
        <w:trPr>
          <w:trHeight w:val="1102"/>
        </w:trPr>
        <w:tc>
          <w:tcPr>
            <w:tcW w:w="704" w:type="dxa"/>
          </w:tcPr>
          <w:p w14:paraId="1FE682D3" w14:textId="77777777" w:rsidR="00821A57" w:rsidRPr="00A015E6" w:rsidRDefault="00821A57" w:rsidP="00CD4346">
            <w:pPr>
              <w:jc w:val="center"/>
              <w:rPr>
                <w:b/>
                <w:sz w:val="22"/>
                <w:szCs w:val="22"/>
              </w:rPr>
            </w:pPr>
            <w:r w:rsidRPr="00A015E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14:paraId="3DF7D86C" w14:textId="0BD75586" w:rsidR="00821A57" w:rsidRPr="00A015E6" w:rsidRDefault="00522016" w:rsidP="00CD4346">
            <w:pPr>
              <w:rPr>
                <w:sz w:val="22"/>
                <w:szCs w:val="22"/>
              </w:rPr>
            </w:pPr>
            <w:r w:rsidRPr="00522016">
              <w:rPr>
                <w:sz w:val="22"/>
                <w:szCs w:val="22"/>
              </w:rPr>
              <w:t xml:space="preserve">3.pielikums 1.2. punkts “Paredzēt 3.3kV slēdzu nomaiņu pret jauniem (piemēram GERAPID vai analogs) ar tālvadības (TV), </w:t>
            </w:r>
            <w:proofErr w:type="spellStart"/>
            <w:r w:rsidRPr="00522016">
              <w:rPr>
                <w:sz w:val="22"/>
                <w:szCs w:val="22"/>
              </w:rPr>
              <w:t>telesignalizācijas</w:t>
            </w:r>
            <w:proofErr w:type="spellEnd"/>
            <w:r w:rsidRPr="00522016">
              <w:rPr>
                <w:sz w:val="22"/>
                <w:szCs w:val="22"/>
              </w:rPr>
              <w:t xml:space="preserve"> (TS) un </w:t>
            </w:r>
            <w:proofErr w:type="spellStart"/>
            <w:r w:rsidRPr="00522016">
              <w:rPr>
                <w:sz w:val="22"/>
                <w:szCs w:val="22"/>
              </w:rPr>
              <w:t>telemērīšanas</w:t>
            </w:r>
            <w:proofErr w:type="spellEnd"/>
            <w:r w:rsidRPr="00522016">
              <w:rPr>
                <w:sz w:val="22"/>
                <w:szCs w:val="22"/>
              </w:rPr>
              <w:t xml:space="preserve"> (TM) funkcijām”. Vai jāparedz arī 6kV, 10kV iekārtu nomaiņa?</w:t>
            </w:r>
          </w:p>
        </w:tc>
        <w:tc>
          <w:tcPr>
            <w:tcW w:w="4541" w:type="dxa"/>
          </w:tcPr>
          <w:p w14:paraId="3804D5CD" w14:textId="77777777" w:rsidR="002E58DB" w:rsidRPr="002E58DB" w:rsidRDefault="002E58DB" w:rsidP="002E5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8DB">
              <w:rPr>
                <w:rFonts w:eastAsia="Calibri"/>
                <w:sz w:val="22"/>
                <w:szCs w:val="22"/>
                <w:lang w:eastAsia="en-US"/>
              </w:rPr>
              <w:t>Nepieciešama 10kV eļļas slēdžu (2gab.) ar vadības blokiem un relej aizsardzības nomaiņa.</w:t>
            </w:r>
          </w:p>
          <w:p w14:paraId="0F3BD97B" w14:textId="2C8ADEC8" w:rsidR="00821A57" w:rsidRPr="00A015E6" w:rsidRDefault="002E58DB" w:rsidP="002E5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8DB">
              <w:rPr>
                <w:rFonts w:eastAsia="Calibri"/>
                <w:sz w:val="22"/>
                <w:szCs w:val="22"/>
                <w:lang w:eastAsia="en-US"/>
              </w:rPr>
              <w:t>10kV, 6kV atdalītāju ar rokas piedziņu nepieciešams aprīkot ar stāvokļa kontroli (SCADA).</w:t>
            </w:r>
          </w:p>
        </w:tc>
      </w:tr>
      <w:tr w:rsidR="00821A57" w:rsidRPr="00FC29CF" w14:paraId="40A82A4D" w14:textId="77777777" w:rsidTr="00CD4346">
        <w:trPr>
          <w:trHeight w:val="1102"/>
        </w:trPr>
        <w:tc>
          <w:tcPr>
            <w:tcW w:w="704" w:type="dxa"/>
          </w:tcPr>
          <w:p w14:paraId="223BBF13" w14:textId="77777777" w:rsidR="00821A57" w:rsidRPr="00A015E6" w:rsidRDefault="00821A57" w:rsidP="00CD4346">
            <w:pPr>
              <w:jc w:val="center"/>
              <w:rPr>
                <w:b/>
                <w:sz w:val="22"/>
                <w:szCs w:val="22"/>
              </w:rPr>
            </w:pPr>
            <w:r w:rsidRPr="00A015E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426A4195" w14:textId="38543931" w:rsidR="00821A57" w:rsidRPr="00A015E6" w:rsidRDefault="00522016" w:rsidP="00CD4346">
            <w:pPr>
              <w:rPr>
                <w:sz w:val="22"/>
                <w:szCs w:val="22"/>
              </w:rPr>
            </w:pPr>
            <w:r w:rsidRPr="00522016">
              <w:rPr>
                <w:sz w:val="22"/>
                <w:szCs w:val="22"/>
              </w:rPr>
              <w:t xml:space="preserve">3. Pielikums 1.4. punkts “Projekta paredzēt divus ADV(automatizēta darba vieta) SCADA sistēmas vadībai: pie </w:t>
            </w:r>
            <w:proofErr w:type="spellStart"/>
            <w:r w:rsidRPr="00522016">
              <w:rPr>
                <w:sz w:val="22"/>
                <w:szCs w:val="22"/>
              </w:rPr>
              <w:t>energodispečera</w:t>
            </w:r>
            <w:proofErr w:type="spellEnd"/>
            <w:r w:rsidRPr="00522016">
              <w:rPr>
                <w:sz w:val="22"/>
                <w:szCs w:val="22"/>
              </w:rPr>
              <w:t xml:space="preserve"> (TED) Rīgā, Turgeņeva 14  un vilces apakšstacijas (EVA-6) vadības telpā. Kontrolpunkta (KP) aparatūras uzstādīšanas vietas EVA-6 un Rīgā, Turgeņeva 14    jāsaskaņo ar pasūtītāju”. Vai projektā jāparedz jauna ADV pie </w:t>
            </w:r>
            <w:proofErr w:type="spellStart"/>
            <w:r w:rsidRPr="00522016">
              <w:rPr>
                <w:sz w:val="22"/>
                <w:szCs w:val="22"/>
              </w:rPr>
              <w:t>energodispečera</w:t>
            </w:r>
            <w:proofErr w:type="spellEnd"/>
            <w:r w:rsidRPr="00522016">
              <w:rPr>
                <w:sz w:val="22"/>
                <w:szCs w:val="22"/>
              </w:rPr>
              <w:t xml:space="preserve"> (TED) Rīgā, Turgeņeva 14, vai jāpaplašina esošā ADV?</w:t>
            </w:r>
          </w:p>
        </w:tc>
        <w:tc>
          <w:tcPr>
            <w:tcW w:w="4541" w:type="dxa"/>
          </w:tcPr>
          <w:p w14:paraId="4705B2C6" w14:textId="2E01253A" w:rsidR="00821A57" w:rsidRPr="00A015E6" w:rsidRDefault="002E58DB" w:rsidP="00A015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8DB">
              <w:rPr>
                <w:rFonts w:eastAsia="Calibri"/>
                <w:sz w:val="22"/>
                <w:szCs w:val="22"/>
                <w:lang w:eastAsia="en-US"/>
              </w:rPr>
              <w:t xml:space="preserve">Attālinātai apakšstacijas vadībai un kontrolei vilces apakšstacijas vadības sistēmu nepieciešams integrēt ASPIC MP sistēmā pie </w:t>
            </w:r>
            <w:proofErr w:type="spellStart"/>
            <w:r w:rsidRPr="002E58DB">
              <w:rPr>
                <w:rFonts w:eastAsia="Calibri"/>
                <w:sz w:val="22"/>
                <w:szCs w:val="22"/>
                <w:lang w:eastAsia="en-US"/>
              </w:rPr>
              <w:t>energodispečera</w:t>
            </w:r>
            <w:proofErr w:type="spellEnd"/>
            <w:r w:rsidRPr="002E58DB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E58DB">
              <w:rPr>
                <w:rFonts w:eastAsia="Calibri"/>
                <w:sz w:val="22"/>
                <w:szCs w:val="22"/>
                <w:lang w:eastAsia="en-US"/>
              </w:rPr>
              <w:t>Tur</w:t>
            </w:r>
            <w:r w:rsidR="00CD17D3">
              <w:rPr>
                <w:rFonts w:eastAsia="Calibri"/>
                <w:sz w:val="22"/>
                <w:szCs w:val="22"/>
                <w:lang w:eastAsia="en-US"/>
              </w:rPr>
              <w:t>g</w:t>
            </w:r>
            <w:r w:rsidRPr="002E58DB">
              <w:rPr>
                <w:rFonts w:eastAsia="Calibri"/>
                <w:sz w:val="22"/>
                <w:szCs w:val="22"/>
                <w:lang w:eastAsia="en-US"/>
              </w:rPr>
              <w:t>eneva</w:t>
            </w:r>
            <w:proofErr w:type="spellEnd"/>
            <w:r w:rsidRPr="002E58DB">
              <w:rPr>
                <w:rFonts w:eastAsia="Calibri"/>
                <w:sz w:val="22"/>
                <w:szCs w:val="22"/>
                <w:lang w:eastAsia="en-US"/>
              </w:rPr>
              <w:t xml:space="preserve"> iel</w:t>
            </w:r>
            <w:r w:rsidR="00CD17D3">
              <w:rPr>
                <w:rFonts w:eastAsia="Calibri"/>
                <w:sz w:val="22"/>
                <w:szCs w:val="22"/>
                <w:lang w:eastAsia="en-US"/>
              </w:rPr>
              <w:t>ā</w:t>
            </w:r>
            <w:r w:rsidRPr="002E58DB">
              <w:rPr>
                <w:rFonts w:eastAsia="Calibri"/>
                <w:sz w:val="22"/>
                <w:szCs w:val="22"/>
                <w:lang w:eastAsia="en-US"/>
              </w:rPr>
              <w:t xml:space="preserve"> 14, Rīgā) ar avārij</w:t>
            </w:r>
            <w:r w:rsidR="00CD17D3">
              <w:rPr>
                <w:rFonts w:eastAsia="Calibri"/>
                <w:sz w:val="22"/>
                <w:szCs w:val="22"/>
                <w:lang w:eastAsia="en-US"/>
              </w:rPr>
              <w:t>as</w:t>
            </w:r>
            <w:r w:rsidRPr="002E58DB">
              <w:rPr>
                <w:rFonts w:eastAsia="Calibri"/>
                <w:sz w:val="22"/>
                <w:szCs w:val="22"/>
                <w:lang w:eastAsia="en-US"/>
              </w:rPr>
              <w:t xml:space="preserve"> signalizāciju un apakšstacijas </w:t>
            </w:r>
            <w:proofErr w:type="spellStart"/>
            <w:r w:rsidRPr="002E58DB">
              <w:rPr>
                <w:rFonts w:eastAsia="Calibri"/>
                <w:sz w:val="22"/>
                <w:szCs w:val="22"/>
                <w:lang w:eastAsia="en-US"/>
              </w:rPr>
              <w:t>Web</w:t>
            </w:r>
            <w:proofErr w:type="spellEnd"/>
            <w:r w:rsidRPr="002E58DB">
              <w:rPr>
                <w:rFonts w:eastAsia="Calibri"/>
                <w:sz w:val="22"/>
                <w:szCs w:val="22"/>
                <w:lang w:eastAsia="en-US"/>
              </w:rPr>
              <w:t xml:space="preserve"> servera izsaukšanu (saskaņā ar </w:t>
            </w:r>
            <w:r w:rsidR="00CD17D3">
              <w:rPr>
                <w:rFonts w:eastAsia="Calibri"/>
                <w:sz w:val="22"/>
                <w:szCs w:val="22"/>
                <w:lang w:eastAsia="en-US"/>
              </w:rPr>
              <w:t>T</w:t>
            </w:r>
            <w:r w:rsidRPr="002E58DB">
              <w:rPr>
                <w:rFonts w:eastAsia="Calibri"/>
                <w:sz w:val="22"/>
                <w:szCs w:val="22"/>
                <w:lang w:eastAsia="en-US"/>
              </w:rPr>
              <w:t>ehniskā uzdevuma 2. un 3. sadaļu).</w:t>
            </w:r>
          </w:p>
        </w:tc>
      </w:tr>
      <w:tr w:rsidR="00821A57" w:rsidRPr="00A015E6" w14:paraId="1C9BF40C" w14:textId="77777777" w:rsidTr="00CD4346">
        <w:trPr>
          <w:trHeight w:val="1102"/>
        </w:trPr>
        <w:tc>
          <w:tcPr>
            <w:tcW w:w="704" w:type="dxa"/>
          </w:tcPr>
          <w:p w14:paraId="0E6B9F25" w14:textId="77777777" w:rsidR="00821A57" w:rsidRPr="00A015E6" w:rsidRDefault="00821A57" w:rsidP="00CD4346">
            <w:pPr>
              <w:jc w:val="center"/>
              <w:rPr>
                <w:b/>
                <w:sz w:val="22"/>
                <w:szCs w:val="22"/>
              </w:rPr>
            </w:pPr>
            <w:r w:rsidRPr="00A015E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7CBA169D" w14:textId="51FAE6A4" w:rsidR="00821A57" w:rsidRPr="00A015E6" w:rsidRDefault="00522016" w:rsidP="00CD4346">
            <w:pPr>
              <w:rPr>
                <w:color w:val="000000"/>
                <w:sz w:val="22"/>
                <w:szCs w:val="22"/>
              </w:rPr>
            </w:pPr>
            <w:r w:rsidRPr="00522016">
              <w:rPr>
                <w:color w:val="000000"/>
                <w:sz w:val="22"/>
                <w:szCs w:val="22"/>
              </w:rPr>
              <w:t>3. Pielikums 1.5. punktā minēts “elektroenerģijas skaitītājus datu savākšanai”, par kādu skaitītāju (ražotājs) nolasīšanu tiek runāts, vai skaitītāju lasījumu jāintegrē kādā konkrētā datu savākšanas sistēmā?</w:t>
            </w:r>
          </w:p>
        </w:tc>
        <w:tc>
          <w:tcPr>
            <w:tcW w:w="4541" w:type="dxa"/>
          </w:tcPr>
          <w:p w14:paraId="0A027DAC" w14:textId="23CEC497" w:rsidR="00821A57" w:rsidRPr="00A015E6" w:rsidRDefault="002E58DB" w:rsidP="00CD4346">
            <w:pPr>
              <w:pStyle w:val="ListParagraph"/>
              <w:ind w:left="0" w:right="73"/>
              <w:rPr>
                <w:sz w:val="22"/>
                <w:szCs w:val="22"/>
              </w:rPr>
            </w:pPr>
            <w:r w:rsidRPr="002E58DB">
              <w:rPr>
                <w:sz w:val="22"/>
                <w:szCs w:val="22"/>
              </w:rPr>
              <w:t>Pielikumā tabula ar esošajiem skaitītājiem. Nepieciešams nodrošināt skaitītāju r</w:t>
            </w:r>
            <w:r w:rsidR="00CD17D3">
              <w:rPr>
                <w:sz w:val="22"/>
                <w:szCs w:val="22"/>
              </w:rPr>
              <w:t>ā</w:t>
            </w:r>
            <w:r w:rsidRPr="002E58DB">
              <w:rPr>
                <w:sz w:val="22"/>
                <w:szCs w:val="22"/>
              </w:rPr>
              <w:t xml:space="preserve">dījumu nolasīšanu pie </w:t>
            </w:r>
            <w:proofErr w:type="spellStart"/>
            <w:r w:rsidRPr="002E58DB">
              <w:rPr>
                <w:sz w:val="22"/>
                <w:szCs w:val="22"/>
              </w:rPr>
              <w:t>energodispečera</w:t>
            </w:r>
            <w:proofErr w:type="spellEnd"/>
            <w:r w:rsidRPr="002E58DB">
              <w:rPr>
                <w:sz w:val="22"/>
                <w:szCs w:val="22"/>
              </w:rPr>
              <w:t xml:space="preserve"> (</w:t>
            </w:r>
            <w:proofErr w:type="spellStart"/>
            <w:r w:rsidRPr="002E58DB">
              <w:rPr>
                <w:sz w:val="22"/>
                <w:szCs w:val="22"/>
              </w:rPr>
              <w:t>Tur</w:t>
            </w:r>
            <w:r w:rsidR="00CD17D3">
              <w:rPr>
                <w:sz w:val="22"/>
                <w:szCs w:val="22"/>
              </w:rPr>
              <w:t>g</w:t>
            </w:r>
            <w:r w:rsidRPr="002E58DB">
              <w:rPr>
                <w:sz w:val="22"/>
                <w:szCs w:val="22"/>
              </w:rPr>
              <w:t>eneva</w:t>
            </w:r>
            <w:proofErr w:type="spellEnd"/>
            <w:r w:rsidRPr="002E58DB">
              <w:rPr>
                <w:sz w:val="22"/>
                <w:szCs w:val="22"/>
              </w:rPr>
              <w:t xml:space="preserve"> iel</w:t>
            </w:r>
            <w:r w:rsidR="00CD17D3">
              <w:rPr>
                <w:sz w:val="22"/>
                <w:szCs w:val="22"/>
              </w:rPr>
              <w:t>ā</w:t>
            </w:r>
            <w:r w:rsidRPr="002E58DB">
              <w:rPr>
                <w:sz w:val="22"/>
                <w:szCs w:val="22"/>
              </w:rPr>
              <w:t xml:space="preserve"> 14, Rīgā). Ja nepieciešams, ska</w:t>
            </w:r>
            <w:r w:rsidR="00CD17D3">
              <w:rPr>
                <w:sz w:val="22"/>
                <w:szCs w:val="22"/>
              </w:rPr>
              <w:t>i</w:t>
            </w:r>
            <w:r w:rsidRPr="002E58DB">
              <w:rPr>
                <w:sz w:val="22"/>
                <w:szCs w:val="22"/>
              </w:rPr>
              <w:t xml:space="preserve">tītājus var </w:t>
            </w:r>
            <w:r w:rsidR="00CD17D3">
              <w:rPr>
                <w:sz w:val="22"/>
                <w:szCs w:val="22"/>
              </w:rPr>
              <w:t>no</w:t>
            </w:r>
            <w:r w:rsidRPr="002E58DB">
              <w:rPr>
                <w:sz w:val="22"/>
                <w:szCs w:val="22"/>
              </w:rPr>
              <w:t>mainīt.</w:t>
            </w:r>
          </w:p>
        </w:tc>
      </w:tr>
      <w:tr w:rsidR="00821A57" w:rsidRPr="00FC29CF" w14:paraId="2FBD357D" w14:textId="77777777" w:rsidTr="00821A57">
        <w:trPr>
          <w:trHeight w:val="1025"/>
        </w:trPr>
        <w:tc>
          <w:tcPr>
            <w:tcW w:w="704" w:type="dxa"/>
          </w:tcPr>
          <w:p w14:paraId="25EE2B8E" w14:textId="77777777" w:rsidR="00821A57" w:rsidRPr="00A015E6" w:rsidRDefault="00821A57" w:rsidP="00CD4346">
            <w:pPr>
              <w:jc w:val="center"/>
              <w:rPr>
                <w:b/>
                <w:sz w:val="22"/>
                <w:szCs w:val="22"/>
              </w:rPr>
            </w:pPr>
            <w:r w:rsidRPr="00A015E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04E963AB" w14:textId="4001E758" w:rsidR="00821A57" w:rsidRPr="00A015E6" w:rsidRDefault="00522016" w:rsidP="00CD4346">
            <w:pPr>
              <w:contextualSpacing/>
              <w:rPr>
                <w:color w:val="000000"/>
                <w:sz w:val="22"/>
                <w:szCs w:val="22"/>
              </w:rPr>
            </w:pPr>
            <w:r w:rsidRPr="00522016">
              <w:rPr>
                <w:color w:val="000000"/>
                <w:sz w:val="22"/>
                <w:szCs w:val="22"/>
              </w:rPr>
              <w:t>3. Pielikums 3.1.2. un 3.1.3. punktos tiek minēts “pareizu signālu veidošanu, kodēšanu un pārraidīšanu” un “nepieciešamās informācijas kodēšanu un nodošanu” . Par kāda veida signāla kodēšanu tiek runāts?</w:t>
            </w:r>
          </w:p>
        </w:tc>
        <w:tc>
          <w:tcPr>
            <w:tcW w:w="4541" w:type="dxa"/>
          </w:tcPr>
          <w:p w14:paraId="08A1516B" w14:textId="3A49DED0" w:rsidR="00821A57" w:rsidRPr="00A015E6" w:rsidRDefault="002E58DB" w:rsidP="00CD4346">
            <w:pPr>
              <w:suppressAutoHyphens/>
              <w:contextualSpacing/>
              <w:rPr>
                <w:sz w:val="22"/>
                <w:szCs w:val="22"/>
              </w:rPr>
            </w:pPr>
            <w:r w:rsidRPr="002E58DB">
              <w:rPr>
                <w:sz w:val="22"/>
                <w:szCs w:val="22"/>
              </w:rPr>
              <w:t>Signāla kodēšana nav nepieciešama. Visai kontrolpunkta aparatūrai, kas ir tieši saistīta ar dispečeru centru (Turgeņeva iel</w:t>
            </w:r>
            <w:r w:rsidR="00CD17D3">
              <w:rPr>
                <w:sz w:val="22"/>
                <w:szCs w:val="22"/>
              </w:rPr>
              <w:t>ā</w:t>
            </w:r>
            <w:r w:rsidRPr="002E58DB">
              <w:rPr>
                <w:sz w:val="22"/>
                <w:szCs w:val="22"/>
              </w:rPr>
              <w:t xml:space="preserve"> 14, Rīg</w:t>
            </w:r>
            <w:r w:rsidR="00CD17D3">
              <w:rPr>
                <w:sz w:val="22"/>
                <w:szCs w:val="22"/>
              </w:rPr>
              <w:t>ā</w:t>
            </w:r>
            <w:r w:rsidRPr="002E58DB">
              <w:rPr>
                <w:sz w:val="22"/>
                <w:szCs w:val="22"/>
              </w:rPr>
              <w:t xml:space="preserve">) jānodrošina tikai IEC-60870-5-104 vai </w:t>
            </w:r>
            <w:proofErr w:type="spellStart"/>
            <w:r w:rsidRPr="002E58DB">
              <w:rPr>
                <w:sz w:val="22"/>
                <w:szCs w:val="22"/>
              </w:rPr>
              <w:t>Modbus</w:t>
            </w:r>
            <w:proofErr w:type="spellEnd"/>
            <w:r w:rsidRPr="002E58DB">
              <w:rPr>
                <w:sz w:val="22"/>
                <w:szCs w:val="22"/>
              </w:rPr>
              <w:t xml:space="preserve"> TCP/IP protokolu izmantošanu.</w:t>
            </w:r>
          </w:p>
        </w:tc>
      </w:tr>
    </w:tbl>
    <w:p w14:paraId="08B9B80F" w14:textId="77777777" w:rsidR="00821A57" w:rsidRPr="00FC29CF" w:rsidRDefault="00821A57" w:rsidP="00821A57">
      <w:pPr>
        <w:rPr>
          <w:rFonts w:ascii="Arial" w:hAnsi="Arial" w:cs="Arial"/>
        </w:rPr>
      </w:pPr>
    </w:p>
    <w:p w14:paraId="20D1334B" w14:textId="3926800F" w:rsidR="001B120F" w:rsidRPr="007B4245" w:rsidRDefault="001B120F" w:rsidP="00522016">
      <w:pPr>
        <w:tabs>
          <w:tab w:val="left" w:pos="3760"/>
        </w:tabs>
        <w:ind w:left="-284" w:right="282" w:firstLine="4395"/>
        <w:jc w:val="right"/>
      </w:pPr>
    </w:p>
    <w:sectPr w:rsidR="001B120F" w:rsidRPr="007B4245" w:rsidSect="00A70187">
      <w:footerReference w:type="default" r:id="rId7"/>
      <w:pgSz w:w="11906" w:h="16838"/>
      <w:pgMar w:top="993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04749" w14:textId="77777777" w:rsidR="00FB406E" w:rsidRDefault="00FB406E" w:rsidP="004B1251">
      <w:r>
        <w:separator/>
      </w:r>
    </w:p>
  </w:endnote>
  <w:endnote w:type="continuationSeparator" w:id="0">
    <w:p w14:paraId="27AD1435" w14:textId="77777777" w:rsidR="00FB406E" w:rsidRDefault="00FB406E" w:rsidP="004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0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3C64C" w14:textId="3A923476" w:rsidR="004B1251" w:rsidRPr="004B1251" w:rsidRDefault="004B1251">
        <w:pPr>
          <w:pStyle w:val="Footer"/>
          <w:jc w:val="right"/>
        </w:pPr>
        <w:r w:rsidRPr="004B1251">
          <w:fldChar w:fldCharType="begin"/>
        </w:r>
        <w:r w:rsidRPr="004B1251">
          <w:instrText xml:space="preserve"> PAGE   \* MERGEFORMAT </w:instrText>
        </w:r>
        <w:r w:rsidRPr="004B1251">
          <w:fldChar w:fldCharType="separate"/>
        </w:r>
        <w:r w:rsidR="001372AA">
          <w:rPr>
            <w:noProof/>
          </w:rPr>
          <w:t>2</w:t>
        </w:r>
        <w:r w:rsidRPr="004B1251">
          <w:rPr>
            <w:noProof/>
          </w:rPr>
          <w:fldChar w:fldCharType="end"/>
        </w:r>
      </w:p>
    </w:sdtContent>
  </w:sdt>
  <w:p w14:paraId="14CB1E0A" w14:textId="77777777" w:rsidR="004B1251" w:rsidRDefault="004B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CC0D9" w14:textId="77777777" w:rsidR="00FB406E" w:rsidRDefault="00FB406E" w:rsidP="004B1251">
      <w:r>
        <w:separator/>
      </w:r>
    </w:p>
  </w:footnote>
  <w:footnote w:type="continuationSeparator" w:id="0">
    <w:p w14:paraId="3CCD4364" w14:textId="77777777" w:rsidR="00FB406E" w:rsidRDefault="00FB406E" w:rsidP="004B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7BE6"/>
    <w:multiLevelType w:val="hybridMultilevel"/>
    <w:tmpl w:val="A61E5010"/>
    <w:lvl w:ilvl="0" w:tplc="C44AD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5C5D"/>
    <w:multiLevelType w:val="multilevel"/>
    <w:tmpl w:val="678E4BC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5F13D5"/>
    <w:multiLevelType w:val="multilevel"/>
    <w:tmpl w:val="04F4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394552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3E"/>
    <w:rsid w:val="00014E24"/>
    <w:rsid w:val="00023F4A"/>
    <w:rsid w:val="00027AEB"/>
    <w:rsid w:val="00034F02"/>
    <w:rsid w:val="00037C9F"/>
    <w:rsid w:val="000506A4"/>
    <w:rsid w:val="0005319E"/>
    <w:rsid w:val="00064B4D"/>
    <w:rsid w:val="00074882"/>
    <w:rsid w:val="0009276F"/>
    <w:rsid w:val="00094F01"/>
    <w:rsid w:val="000D265C"/>
    <w:rsid w:val="000F1A1A"/>
    <w:rsid w:val="000F26A2"/>
    <w:rsid w:val="000F323E"/>
    <w:rsid w:val="00107F71"/>
    <w:rsid w:val="00122617"/>
    <w:rsid w:val="00123EED"/>
    <w:rsid w:val="00124A26"/>
    <w:rsid w:val="001250AA"/>
    <w:rsid w:val="001372AA"/>
    <w:rsid w:val="001478A7"/>
    <w:rsid w:val="0016739C"/>
    <w:rsid w:val="001778C3"/>
    <w:rsid w:val="00180163"/>
    <w:rsid w:val="00190ED8"/>
    <w:rsid w:val="001B120F"/>
    <w:rsid w:val="001B47DF"/>
    <w:rsid w:val="001C2EB3"/>
    <w:rsid w:val="001C52AD"/>
    <w:rsid w:val="001D3A28"/>
    <w:rsid w:val="001E3412"/>
    <w:rsid w:val="00202BFA"/>
    <w:rsid w:val="00225910"/>
    <w:rsid w:val="00227648"/>
    <w:rsid w:val="00227F71"/>
    <w:rsid w:val="00233A44"/>
    <w:rsid w:val="002740AB"/>
    <w:rsid w:val="002A6DDD"/>
    <w:rsid w:val="002A7C9A"/>
    <w:rsid w:val="002B0F91"/>
    <w:rsid w:val="002B1142"/>
    <w:rsid w:val="002E4B75"/>
    <w:rsid w:val="002E58DB"/>
    <w:rsid w:val="002F2EA9"/>
    <w:rsid w:val="002F3E0B"/>
    <w:rsid w:val="003449AF"/>
    <w:rsid w:val="003700DE"/>
    <w:rsid w:val="003C03B4"/>
    <w:rsid w:val="003C6146"/>
    <w:rsid w:val="003D0E5B"/>
    <w:rsid w:val="003D51B9"/>
    <w:rsid w:val="003D69F8"/>
    <w:rsid w:val="003F4199"/>
    <w:rsid w:val="003F7FD6"/>
    <w:rsid w:val="00422D3C"/>
    <w:rsid w:val="0042446F"/>
    <w:rsid w:val="00431498"/>
    <w:rsid w:val="0043700D"/>
    <w:rsid w:val="0044664B"/>
    <w:rsid w:val="00451D2B"/>
    <w:rsid w:val="00460034"/>
    <w:rsid w:val="00464CE0"/>
    <w:rsid w:val="0047100C"/>
    <w:rsid w:val="00486AEE"/>
    <w:rsid w:val="004913A2"/>
    <w:rsid w:val="004A159A"/>
    <w:rsid w:val="004A20F5"/>
    <w:rsid w:val="004B1251"/>
    <w:rsid w:val="004B194F"/>
    <w:rsid w:val="004C741C"/>
    <w:rsid w:val="004D40FF"/>
    <w:rsid w:val="004E0095"/>
    <w:rsid w:val="004F07D4"/>
    <w:rsid w:val="004F20DC"/>
    <w:rsid w:val="004F3BB7"/>
    <w:rsid w:val="00522016"/>
    <w:rsid w:val="00525145"/>
    <w:rsid w:val="00540659"/>
    <w:rsid w:val="0054163C"/>
    <w:rsid w:val="00563260"/>
    <w:rsid w:val="00567AA4"/>
    <w:rsid w:val="005A0166"/>
    <w:rsid w:val="005E1120"/>
    <w:rsid w:val="005F3C35"/>
    <w:rsid w:val="005F4DA2"/>
    <w:rsid w:val="00615C19"/>
    <w:rsid w:val="00637EB6"/>
    <w:rsid w:val="00646BFE"/>
    <w:rsid w:val="006948C1"/>
    <w:rsid w:val="006F2C07"/>
    <w:rsid w:val="00701BEE"/>
    <w:rsid w:val="00707807"/>
    <w:rsid w:val="007168EE"/>
    <w:rsid w:val="007539F2"/>
    <w:rsid w:val="0075780A"/>
    <w:rsid w:val="00760E13"/>
    <w:rsid w:val="00763035"/>
    <w:rsid w:val="007654A8"/>
    <w:rsid w:val="00767707"/>
    <w:rsid w:val="00796017"/>
    <w:rsid w:val="007A4980"/>
    <w:rsid w:val="007A4BFE"/>
    <w:rsid w:val="007A6C45"/>
    <w:rsid w:val="007B4245"/>
    <w:rsid w:val="007C4EA8"/>
    <w:rsid w:val="007D7449"/>
    <w:rsid w:val="007E7149"/>
    <w:rsid w:val="007E76B8"/>
    <w:rsid w:val="007F0ADD"/>
    <w:rsid w:val="008172EC"/>
    <w:rsid w:val="00820D98"/>
    <w:rsid w:val="00821A57"/>
    <w:rsid w:val="00821EF0"/>
    <w:rsid w:val="00840E3C"/>
    <w:rsid w:val="00860FE1"/>
    <w:rsid w:val="008663F3"/>
    <w:rsid w:val="00881096"/>
    <w:rsid w:val="00892755"/>
    <w:rsid w:val="008B6529"/>
    <w:rsid w:val="008B6798"/>
    <w:rsid w:val="008B740F"/>
    <w:rsid w:val="008E45D4"/>
    <w:rsid w:val="009106E1"/>
    <w:rsid w:val="009174D4"/>
    <w:rsid w:val="00920348"/>
    <w:rsid w:val="00926080"/>
    <w:rsid w:val="0094197D"/>
    <w:rsid w:val="009542EB"/>
    <w:rsid w:val="00967F04"/>
    <w:rsid w:val="00972739"/>
    <w:rsid w:val="0099010D"/>
    <w:rsid w:val="009B0577"/>
    <w:rsid w:val="009C0D9E"/>
    <w:rsid w:val="009D607C"/>
    <w:rsid w:val="009E32EB"/>
    <w:rsid w:val="009F5BBC"/>
    <w:rsid w:val="009F6761"/>
    <w:rsid w:val="00A015E6"/>
    <w:rsid w:val="00A069B2"/>
    <w:rsid w:val="00A32388"/>
    <w:rsid w:val="00A43257"/>
    <w:rsid w:val="00A4391D"/>
    <w:rsid w:val="00A601BC"/>
    <w:rsid w:val="00A70187"/>
    <w:rsid w:val="00A722A3"/>
    <w:rsid w:val="00A7545E"/>
    <w:rsid w:val="00AA1A16"/>
    <w:rsid w:val="00AA50B4"/>
    <w:rsid w:val="00AC1427"/>
    <w:rsid w:val="00AC622E"/>
    <w:rsid w:val="00B01C9A"/>
    <w:rsid w:val="00B025CC"/>
    <w:rsid w:val="00B0319B"/>
    <w:rsid w:val="00B221F3"/>
    <w:rsid w:val="00B23AF7"/>
    <w:rsid w:val="00B85BD9"/>
    <w:rsid w:val="00B961D8"/>
    <w:rsid w:val="00BA47D6"/>
    <w:rsid w:val="00BA55F6"/>
    <w:rsid w:val="00BA7B93"/>
    <w:rsid w:val="00BB591E"/>
    <w:rsid w:val="00BB692E"/>
    <w:rsid w:val="00BC3CA7"/>
    <w:rsid w:val="00BC6A2A"/>
    <w:rsid w:val="00BE2102"/>
    <w:rsid w:val="00BE3930"/>
    <w:rsid w:val="00BF1ABD"/>
    <w:rsid w:val="00BF1EA1"/>
    <w:rsid w:val="00C01843"/>
    <w:rsid w:val="00C1523B"/>
    <w:rsid w:val="00C17299"/>
    <w:rsid w:val="00C35C6D"/>
    <w:rsid w:val="00C377AE"/>
    <w:rsid w:val="00C4046C"/>
    <w:rsid w:val="00C44539"/>
    <w:rsid w:val="00C60987"/>
    <w:rsid w:val="00C669AC"/>
    <w:rsid w:val="00C802B8"/>
    <w:rsid w:val="00C81686"/>
    <w:rsid w:val="00C866C1"/>
    <w:rsid w:val="00C972FC"/>
    <w:rsid w:val="00C97AF9"/>
    <w:rsid w:val="00CB2A23"/>
    <w:rsid w:val="00CB41DB"/>
    <w:rsid w:val="00CC2350"/>
    <w:rsid w:val="00CD113C"/>
    <w:rsid w:val="00CD12FE"/>
    <w:rsid w:val="00CD17D3"/>
    <w:rsid w:val="00CD701F"/>
    <w:rsid w:val="00CD7448"/>
    <w:rsid w:val="00CE2D1F"/>
    <w:rsid w:val="00CF7FFC"/>
    <w:rsid w:val="00D05435"/>
    <w:rsid w:val="00D173B2"/>
    <w:rsid w:val="00D31D34"/>
    <w:rsid w:val="00D376F8"/>
    <w:rsid w:val="00D43617"/>
    <w:rsid w:val="00D61649"/>
    <w:rsid w:val="00D61AC0"/>
    <w:rsid w:val="00D65A7F"/>
    <w:rsid w:val="00D74ED6"/>
    <w:rsid w:val="00D80648"/>
    <w:rsid w:val="00D90912"/>
    <w:rsid w:val="00DB369A"/>
    <w:rsid w:val="00DB5B4E"/>
    <w:rsid w:val="00DC3B7C"/>
    <w:rsid w:val="00DC7874"/>
    <w:rsid w:val="00DD5BDC"/>
    <w:rsid w:val="00E0633E"/>
    <w:rsid w:val="00E459D7"/>
    <w:rsid w:val="00E57A63"/>
    <w:rsid w:val="00E70A29"/>
    <w:rsid w:val="00E852DD"/>
    <w:rsid w:val="00E860E3"/>
    <w:rsid w:val="00ED4505"/>
    <w:rsid w:val="00EF6034"/>
    <w:rsid w:val="00F05B3C"/>
    <w:rsid w:val="00F210C8"/>
    <w:rsid w:val="00F24374"/>
    <w:rsid w:val="00F26E38"/>
    <w:rsid w:val="00F37C4F"/>
    <w:rsid w:val="00F55AEA"/>
    <w:rsid w:val="00F72161"/>
    <w:rsid w:val="00F93CBB"/>
    <w:rsid w:val="00F97D93"/>
    <w:rsid w:val="00FB406E"/>
    <w:rsid w:val="00FB64E6"/>
    <w:rsid w:val="00FC7EF1"/>
    <w:rsid w:val="00FE7425"/>
    <w:rsid w:val="00FF1AA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77589"/>
  <w15:docId w15:val="{35E78941-AFC1-478B-996A-2BB6237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B1251"/>
    <w:pPr>
      <w:keepNext/>
      <w:outlineLvl w:val="0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1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Title">
    <w:name w:val="Title"/>
    <w:basedOn w:val="Normal"/>
    <w:link w:val="TitleChar"/>
    <w:qFormat/>
    <w:rsid w:val="004B1251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4B1251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4B1251"/>
    <w:pPr>
      <w:jc w:val="both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4B1251"/>
    <w:pPr>
      <w:ind w:firstLine="540"/>
      <w:jc w:val="both"/>
    </w:pPr>
    <w:rPr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4B1251"/>
    <w:pPr>
      <w:ind w:left="720"/>
      <w:contextualSpacing/>
    </w:pPr>
  </w:style>
  <w:style w:type="paragraph" w:customStyle="1" w:styleId="BodyText21">
    <w:name w:val="Body Text 21"/>
    <w:basedOn w:val="Normal"/>
    <w:link w:val="BodyText21Char"/>
    <w:rsid w:val="004B1251"/>
    <w:pPr>
      <w:jc w:val="both"/>
    </w:pPr>
    <w:rPr>
      <w:sz w:val="24"/>
      <w:lang w:eastAsia="en-US"/>
    </w:rPr>
  </w:style>
  <w:style w:type="character" w:customStyle="1" w:styleId="BodyText21Char">
    <w:name w:val="Body Text 21 Char"/>
    <w:link w:val="BodyText21"/>
    <w:locked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B12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ield-content5">
    <w:name w:val="field-content5"/>
    <w:basedOn w:val="DefaultParagraphFont"/>
    <w:rsid w:val="00422D3C"/>
  </w:style>
  <w:style w:type="paragraph" w:styleId="BalloonText">
    <w:name w:val="Balloon Text"/>
    <w:basedOn w:val="Normal"/>
    <w:link w:val="BalloonTextChar"/>
    <w:uiPriority w:val="99"/>
    <w:semiHidden/>
    <w:unhideWhenUsed/>
    <w:rsid w:val="0088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96"/>
    <w:rPr>
      <w:rFonts w:ascii="Segoe UI" w:eastAsia="Times New Roman" w:hAnsi="Segoe UI" w:cs="Segoe UI"/>
      <w:sz w:val="18"/>
      <w:szCs w:val="18"/>
      <w:lang w:val="en-US" w:eastAsia="lv-LV"/>
    </w:rPr>
  </w:style>
  <w:style w:type="paragraph" w:customStyle="1" w:styleId="Nos2">
    <w:name w:val="Nos2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semiHidden/>
    <w:unhideWhenUsed/>
    <w:rsid w:val="00525145"/>
    <w:rPr>
      <w:strike w:val="0"/>
      <w:dstrike w:val="0"/>
      <w:color w:val="940026"/>
      <w:u w:val="none"/>
      <w:effect w:val="none"/>
    </w:rPr>
  </w:style>
  <w:style w:type="character" w:customStyle="1" w:styleId="lineage-item">
    <w:name w:val="lineage-item"/>
    <w:rsid w:val="00525145"/>
  </w:style>
  <w:style w:type="character" w:customStyle="1" w:styleId="Heading3Char">
    <w:name w:val="Heading 3 Char"/>
    <w:basedOn w:val="DefaultParagraphFont"/>
    <w:link w:val="Heading3"/>
    <w:uiPriority w:val="9"/>
    <w:semiHidden/>
    <w:rsid w:val="0052514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BA47D6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7100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D6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F8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F8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table" w:styleId="TableGrid">
    <w:name w:val="Table Grid"/>
    <w:basedOn w:val="TableNormal"/>
    <w:uiPriority w:val="39"/>
    <w:rsid w:val="00821A5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Kempa</dc:creator>
  <cp:lastModifiedBy>Kristaps Nusbergs</cp:lastModifiedBy>
  <cp:revision>6</cp:revision>
  <cp:lastPrinted>2019-05-17T04:48:00Z</cp:lastPrinted>
  <dcterms:created xsi:type="dcterms:W3CDTF">2020-01-08T12:40:00Z</dcterms:created>
  <dcterms:modified xsi:type="dcterms:W3CDTF">2020-01-09T09:19:00Z</dcterms:modified>
</cp:coreProperties>
</file>