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60" w:rsidRPr="00D276AF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C1E10">
        <w:rPr>
          <w:rFonts w:ascii="Times New Roman" w:hAnsi="Times New Roman" w:cs="Times New Roman"/>
          <w:b/>
          <w:bCs/>
          <w:sz w:val="24"/>
          <w:szCs w:val="24"/>
        </w:rPr>
        <w:t xml:space="preserve">Sarunu procedūra, publicējot </w:t>
      </w:r>
      <w:r w:rsidRPr="00354BF1">
        <w:rPr>
          <w:rFonts w:ascii="Times New Roman" w:hAnsi="Times New Roman" w:cs="Times New Roman"/>
          <w:b/>
          <w:bCs/>
          <w:sz w:val="24"/>
          <w:szCs w:val="24"/>
        </w:rPr>
        <w:t xml:space="preserve">dalības </w:t>
      </w:r>
      <w:r w:rsidRPr="00D276AF">
        <w:rPr>
          <w:rFonts w:ascii="Times New Roman" w:hAnsi="Times New Roman" w:cs="Times New Roman"/>
          <w:b/>
          <w:bCs/>
          <w:sz w:val="24"/>
          <w:szCs w:val="24"/>
        </w:rPr>
        <w:t>uzaicinājumu, “</w:t>
      </w:r>
      <w:r w:rsidR="00D276AF" w:rsidRPr="00D276AF">
        <w:rPr>
          <w:rFonts w:ascii="Times New Roman" w:hAnsi="Times New Roman" w:cs="Times New Roman"/>
          <w:b/>
          <w:sz w:val="24"/>
          <w:szCs w:val="24"/>
        </w:rPr>
        <w:t>Daugavpils pieņemšanas parka un tam piebraucamo ceļu attīstība – būvniecība</w:t>
      </w:r>
      <w:r w:rsidRPr="00D276A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276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 procedūras ziņojums</w:t>
      </w:r>
      <w:r w:rsidR="00D276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3"/>
        <w:gridCol w:w="3819"/>
        <w:gridCol w:w="5234"/>
      </w:tblGrid>
      <w:tr w:rsidR="00E75560" w:rsidRPr="009C1E10" w:rsidTr="009C1E10">
        <w:tc>
          <w:tcPr>
            <w:tcW w:w="723" w:type="dxa"/>
          </w:tcPr>
          <w:p w:rsidR="00E75560" w:rsidRPr="009C1E10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819" w:type="dxa"/>
          </w:tcPr>
          <w:p w:rsidR="00E75560" w:rsidRPr="009C1E10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</w:t>
            </w:r>
            <w:r w:rsidRPr="009C1E1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amās ziņas</w:t>
            </w:r>
          </w:p>
        </w:tc>
        <w:tc>
          <w:tcPr>
            <w:tcW w:w="5234" w:type="dxa"/>
          </w:tcPr>
          <w:p w:rsidR="00E75560" w:rsidRPr="009C1E10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C1E10" w:rsidTr="009C1E10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19" w:type="dxa"/>
          </w:tcPr>
          <w:p w:rsidR="00E75560" w:rsidRPr="009C1E10" w:rsidRDefault="00526C0C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abiedrisko pakalpojumu sniedzēja nosaukums un adrese, iepirkuma identifikācijas numurs, iepirkuma procedūras veids un tās izvēles pamatojums, kā arī iepirkuma līguma vai v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ispārīgās vienošanās priekšmets</w:t>
            </w:r>
          </w:p>
        </w:tc>
        <w:tc>
          <w:tcPr>
            <w:tcW w:w="5234" w:type="dxa"/>
          </w:tcPr>
          <w:p w:rsidR="007B360D" w:rsidRPr="00D276AF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1">
              <w:rPr>
                <w:rFonts w:ascii="Times New Roman" w:hAnsi="Times New Roman" w:cs="Times New Roman"/>
                <w:sz w:val="24"/>
                <w:szCs w:val="24"/>
              </w:rPr>
              <w:t>Valsts akciju sabiedrība "Latvijas dzelzceļš"</w:t>
            </w:r>
            <w:r w:rsidR="00E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91" w:rsidRPr="00526C0C">
              <w:rPr>
                <w:rFonts w:ascii="Times New Roman" w:hAnsi="Times New Roman" w:cs="Times New Roman"/>
                <w:sz w:val="24"/>
                <w:szCs w:val="24"/>
              </w:rPr>
              <w:t xml:space="preserve">(turpmāk </w:t>
            </w:r>
            <w:r w:rsidR="00E30391" w:rsidRPr="00D276AF">
              <w:rPr>
                <w:rFonts w:ascii="Times New Roman" w:hAnsi="Times New Roman" w:cs="Times New Roman"/>
                <w:sz w:val="24"/>
                <w:szCs w:val="24"/>
              </w:rPr>
              <w:t>– sabiedrisko pakalpojumus sniedzējs)</w:t>
            </w:r>
            <w:r w:rsidRPr="00D2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C0C" w:rsidRPr="00D276AF">
              <w:rPr>
                <w:rFonts w:ascii="Times New Roman" w:hAnsi="Times New Roman" w:cs="Times New Roman"/>
                <w:sz w:val="24"/>
                <w:szCs w:val="24"/>
              </w:rPr>
              <w:t>Latvija, Rīga, Gogoļa iela 3.</w:t>
            </w:r>
            <w:r w:rsidR="007B360D" w:rsidRPr="00D2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0" w:rsidRDefault="00354BF1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F">
              <w:rPr>
                <w:rFonts w:ascii="Times New Roman" w:hAnsi="Times New Roman" w:cs="Times New Roman"/>
                <w:sz w:val="24"/>
                <w:szCs w:val="24"/>
              </w:rPr>
              <w:t>Iepirkuma identifikācijas Nr.</w:t>
            </w:r>
            <w:r w:rsidR="00D276AF" w:rsidRPr="00D2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AF" w:rsidRPr="00D276AF">
              <w:rPr>
                <w:rFonts w:ascii="Times New Roman" w:hAnsi="Times New Roman" w:cs="Times New Roman"/>
                <w:sz w:val="24"/>
                <w:szCs w:val="24"/>
              </w:rPr>
              <w:t>LDZ 2017/7-IB/6.2.1.2/16/I/003/01-01</w:t>
            </w:r>
            <w:r w:rsidR="00526C0C" w:rsidRPr="00D27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6AF" w:rsidRPr="00D276AF" w:rsidRDefault="00D276AF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10" w:rsidRPr="00354BF1" w:rsidRDefault="00D276AF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rocedūras veids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“s</w:t>
            </w:r>
            <w:r w:rsidR="009C1E1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arunu procedūra, publicējot dalības uzaicinājumu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416B8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0F2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tika</w:t>
            </w:r>
            <w:r w:rsidR="00416B8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354BF1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</w:t>
            </w:r>
            <w:r w:rsidR="00354BF1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BF1" w:rsidRPr="00354BF1">
              <w:rPr>
                <w:rFonts w:ascii="Times New Roman" w:hAnsi="Times New Roman" w:cs="Times New Roman"/>
              </w:rPr>
              <w:t>(redakcija, kas spēkā no 04.09.2010. līdz 31.03.2017.)</w:t>
            </w:r>
            <w:r w:rsidR="00354BF1">
              <w:rPr>
                <w:rFonts w:ascii="Times New Roman" w:hAnsi="Times New Roman" w:cs="Times New Roman"/>
              </w:rPr>
              <w:t xml:space="preserve"> (turpmāk – SPSIL)</w:t>
            </w:r>
            <w:r w:rsidR="00416B80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prasības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BF1" w:rsidRPr="00354BF1" w:rsidRDefault="00416B80" w:rsidP="00354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Sarunu procedūras priekšmets </w:t>
            </w:r>
            <w:r w:rsidR="00D340F2"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276AF" w:rsidRPr="00A221E5">
              <w:rPr>
                <w:rFonts w:ascii="Times New Roman" w:hAnsi="Times New Roman"/>
                <w:sz w:val="24"/>
                <w:szCs w:val="24"/>
              </w:rPr>
              <w:t xml:space="preserve">Daugavpils stacijas pieņemšanas parka un tam piebraucamo ceļu izbūve (projektēšana un būvdarbi) </w:t>
            </w:r>
            <w:r w:rsidR="00D276AF">
              <w:rPr>
                <w:rFonts w:ascii="Times New Roman" w:hAnsi="Times New Roman"/>
                <w:sz w:val="24"/>
                <w:szCs w:val="24"/>
              </w:rPr>
              <w:t>projekta (</w:t>
            </w:r>
            <w:r w:rsidR="00D276AF" w:rsidRPr="00A221E5">
              <w:rPr>
                <w:rFonts w:ascii="Times New Roman" w:hAnsi="Times New Roman"/>
                <w:sz w:val="24"/>
                <w:szCs w:val="24"/>
              </w:rPr>
              <w:t>Eiropas Savienības Kohēzija</w:t>
            </w:r>
            <w:r w:rsidR="00D276AF">
              <w:rPr>
                <w:rFonts w:ascii="Times New Roman" w:hAnsi="Times New Roman"/>
                <w:sz w:val="24"/>
                <w:szCs w:val="24"/>
              </w:rPr>
              <w:t>s fonda līdzfinansēts projekts</w:t>
            </w:r>
            <w:r w:rsidR="00D276AF" w:rsidRPr="00A221E5">
              <w:rPr>
                <w:rFonts w:ascii="Times New Roman" w:hAnsi="Times New Roman"/>
                <w:sz w:val="24"/>
                <w:szCs w:val="24"/>
              </w:rPr>
              <w:t xml:space="preserve"> “Daugavpils pieņemšanas parka un tam piebraucamo ceļu attīstība</w:t>
            </w:r>
            <w:r w:rsidR="00D276AF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 w:rsidR="00D276AF" w:rsidRPr="00A221E5">
              <w:rPr>
                <w:rFonts w:ascii="Times New Roman" w:hAnsi="Times New Roman"/>
                <w:sz w:val="24"/>
                <w:szCs w:val="24"/>
              </w:rPr>
              <w:t>projekta Nr.6.2.1.2/16/I/003) ietvaros</w:t>
            </w: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75560" w:rsidRPr="009C1E10" w:rsidTr="009C1E10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E75560" w:rsidRPr="009C1E10" w:rsidRDefault="00526C0C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atums, kad paziņojums par līgumu un periodiskais informatīvais paziņojums, ja tāds ir izmantots, publicēts Eiropas Savienības Oficiālajā Vēstnesī, un Iepirkumu uzraudzī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 biroja tīmekļvietnē</w:t>
            </w:r>
          </w:p>
        </w:tc>
        <w:tc>
          <w:tcPr>
            <w:tcW w:w="5234" w:type="dxa"/>
          </w:tcPr>
          <w:p w:rsidR="00416B80" w:rsidRPr="00416B80" w:rsidRDefault="00416B80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30.03.2017.</w:t>
            </w:r>
          </w:p>
          <w:p w:rsidR="00526C0C" w:rsidRDefault="00526C0C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75560" w:rsidRPr="00416B80" w:rsidRDefault="00416B80" w:rsidP="00F2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mekļvietnē – 30.03.2017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iepirkuma komisijas sastāvs un tās izveidošanas pamatojums, iepirkuma procedūras dokumentu sagata</w:t>
            </w:r>
            <w:r w:rsidR="00526C0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votāji un pieaicinātie eksperti</w:t>
            </w:r>
          </w:p>
        </w:tc>
        <w:tc>
          <w:tcPr>
            <w:tcW w:w="5234" w:type="dxa"/>
          </w:tcPr>
          <w:p w:rsidR="00E16923" w:rsidRPr="00E16923" w:rsidRDefault="00E16923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idošanas pamatojums tika noteikts </w:t>
            </w:r>
            <w:r w:rsidR="00526C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</w:t>
            </w:r>
            <w:r w:rsidR="00D340F2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SPSIL un </w:t>
            </w:r>
            <w:r w:rsidR="00E303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pakalpojuma sniedzēja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iekšējie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m normatīvajiem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akti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- ar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rīkojumu.</w:t>
            </w:r>
          </w:p>
          <w:p w:rsidR="009C1E10" w:rsidRPr="00E16923" w:rsidRDefault="00416B80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>Sastāvs: uzņēmuma viceprezidents, Tehniskās vadības direkcijas, Finanšu direkcijas, Juridisko un  administratīvo lietu direkcijas,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Attīstības direkcijas un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darbinieki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0D" w:rsidRPr="00E16923" w:rsidRDefault="00F2799F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Attīstības direkcijas un 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Tehniskās vadības direkcijas </w:t>
            </w: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7B360D" w:rsidRPr="009C1E10" w:rsidRDefault="007B360D" w:rsidP="0035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Pieaicinātie eksperti: </w:t>
            </w:r>
            <w:r w:rsidR="00354BF1" w:rsidRPr="00E16923">
              <w:rPr>
                <w:rFonts w:ascii="Times New Roman" w:hAnsi="Times New Roman" w:cs="Times New Roman"/>
                <w:sz w:val="24"/>
                <w:szCs w:val="24"/>
              </w:rPr>
              <w:t>Juridisko un  administratīvo lietu direkcijas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darbinieks.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sākotnējo p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iesniegšanas termiņš</w:t>
            </w:r>
          </w:p>
        </w:tc>
        <w:tc>
          <w:tcPr>
            <w:tcW w:w="5234" w:type="dxa"/>
          </w:tcPr>
          <w:p w:rsidR="003A33D6" w:rsidRDefault="003A33D6" w:rsidP="00D3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Nolikumā noteikta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pieteikumu iesniegšanas termiņš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.2017. plkst. 10.</w:t>
            </w:r>
            <w:r w:rsidR="00D27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C0C" w:rsidRDefault="00526C0C" w:rsidP="00D3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10" w:rsidRDefault="003A33D6" w:rsidP="003A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Pēc nolikuma grozījumiem Nr.1 pieteikumu iesniegšanas termiņš: </w:t>
            </w:r>
            <w:r w:rsidRPr="003A33D6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.2017. plkst. 10.</w:t>
            </w:r>
            <w:r w:rsidR="00D27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A33D6" w:rsidRPr="003A33D6" w:rsidRDefault="003A33D6" w:rsidP="00E3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(28.04.2017. tika publicēts paziņojums par izmaiņām vai papildus informāciju Iepirkumu uzraudzības biroja </w:t>
            </w:r>
            <w:r w:rsidRPr="003A33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tīmekļvietnē un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3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Eiropas Savienības Oficiālajā Vēstnesī, t.sk. 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nolikuma grozījumi Nr.1 tika publicēti arī </w:t>
            </w:r>
            <w:r w:rsidR="00E30391">
              <w:rPr>
                <w:rFonts w:ascii="Times New Roman" w:hAnsi="Times New Roman" w:cs="Times New Roman"/>
                <w:sz w:val="20"/>
                <w:szCs w:val="20"/>
              </w:rPr>
              <w:t>sabiedrisko pakalpojumu sniedzēja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mājas lapā internetā (</w:t>
            </w:r>
            <w:hyperlink r:id="rId5" w:history="1">
              <w:r w:rsidRPr="003A33D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www.ldz.lv</w:t>
              </w:r>
            </w:hyperlink>
            <w:r w:rsidRPr="003A33D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9" w:type="dxa"/>
          </w:tcPr>
          <w:p w:rsidR="009C1E10" w:rsidRPr="009C1E10" w:rsidRDefault="00526C0C" w:rsidP="00640B07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o piegādātāju nosaukumi, kuri pieteikušies uz kandidātu atlasi, un to pretendentu 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nosaukumi, kuri ir iesnieguši piedāvājumus, kā ar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 piedāvātās cenas vai izmaksas</w:t>
            </w:r>
          </w:p>
        </w:tc>
        <w:tc>
          <w:tcPr>
            <w:tcW w:w="5234" w:type="dxa"/>
          </w:tcPr>
          <w:p w:rsidR="0008608A" w:rsidRPr="009C1E10" w:rsidRDefault="003A33D6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andidātu skaita samazināšanas gadījumā norāda izraudzīto kandidātu nosaukumus un to izraudzīšanās iemeslus, noraidīto kandidātu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234" w:type="dxa"/>
          </w:tcPr>
          <w:p w:rsidR="009C1E10" w:rsidRPr="00F2799F" w:rsidRDefault="00526C0C" w:rsidP="00E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skaita samazināšanas gadījumā norāda izraudzīto pretendentu nosaukumus un to izraudzīšanās iemeslus, noraidīto pretendentu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234" w:type="dxa"/>
          </w:tcPr>
          <w:p w:rsidR="009C1E10" w:rsidRPr="00F2799F" w:rsidRDefault="00526C0C" w:rsidP="003A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9" w:type="dxa"/>
          </w:tcPr>
          <w:p w:rsidR="009C1E10" w:rsidRPr="009C1E10" w:rsidRDefault="00526C0C" w:rsidP="00F27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piedāvājumu at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vēršanas vieta, datums un laiks</w:t>
            </w:r>
          </w:p>
        </w:tc>
        <w:tc>
          <w:tcPr>
            <w:tcW w:w="5234" w:type="dxa"/>
          </w:tcPr>
          <w:p w:rsidR="009C1E10" w:rsidRPr="00F2799F" w:rsidRDefault="003A33D6" w:rsidP="00C5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arunu posmi un to rezultāti</w:t>
            </w:r>
          </w:p>
        </w:tc>
        <w:tc>
          <w:tcPr>
            <w:tcW w:w="5234" w:type="dxa"/>
          </w:tcPr>
          <w:p w:rsidR="009C1E10" w:rsidRPr="00F2799F" w:rsidRDefault="003A33D6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5234" w:type="dxa"/>
          </w:tcPr>
          <w:p w:rsidR="00C55AAF" w:rsidRPr="00F2799F" w:rsidRDefault="003A33D6" w:rsidP="00D3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nformācija, ja tā ir zināma, par to iepirkuma līguma vai vispārīgās vienošanās daļu, kuru izraudzītais piegādātājs plānojis nodot apakšuzņēmējiem,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kā arī apakšuzņēmēju nosaukumi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amatojums lēmumam par katru noraidīto kandidātu un pretendentu, kā arī par katru iepirkuma procedūras dokumentiem neatbil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stošu pieteikumu un piedāvājumu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ēmuma pamatojums, ja iepirkuma komisija pieņēmusi lēmumu pārtraukt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 izbeigt iepirkuma procedūru</w:t>
            </w:r>
          </w:p>
        </w:tc>
        <w:tc>
          <w:tcPr>
            <w:tcW w:w="5234" w:type="dxa"/>
          </w:tcPr>
          <w:p w:rsidR="009C1E10" w:rsidRPr="009C1E10" w:rsidRDefault="00E30391" w:rsidP="0080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Sabiedrisko pakalpojumu sniedzējs</w:t>
            </w:r>
            <w:r w:rsidR="003A33D6" w:rsidRPr="00E30391">
              <w:rPr>
                <w:rFonts w:ascii="Times New Roman" w:hAnsi="Times New Roman" w:cs="Times New Roman"/>
              </w:rPr>
              <w:t xml:space="preserve"> </w:t>
            </w:r>
            <w:r w:rsidRPr="00E30391">
              <w:rPr>
                <w:rFonts w:ascii="Times New Roman" w:hAnsi="Times New Roman" w:cs="Times New Roman"/>
              </w:rPr>
              <w:t xml:space="preserve">2017.gada 25.aprīlī </w:t>
            </w:r>
            <w:r>
              <w:rPr>
                <w:rFonts w:ascii="Times New Roman" w:hAnsi="Times New Roman" w:cs="Times New Roman"/>
              </w:rPr>
              <w:t>saņēma</w:t>
            </w:r>
            <w:r w:rsidR="003A33D6" w:rsidRPr="00E30391">
              <w:rPr>
                <w:rFonts w:ascii="Times New Roman" w:hAnsi="Times New Roman" w:cs="Times New Roman"/>
              </w:rPr>
              <w:t xml:space="preserve"> Iepirkumu uzraudzības biroja (turpmāk – IUB) 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>25.04.2017. vēstul</w:t>
            </w:r>
            <w:r>
              <w:rPr>
                <w:rFonts w:ascii="Times New Roman" w:hAnsi="Times New Roman" w:cs="Times New Roman"/>
                <w:lang w:eastAsia="lv-LV"/>
              </w:rPr>
              <w:t>i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 Nr.8-1/1119 “Par atzinuma sniegšanu” (turpmāk – Atzinums), kurā IUB norāda, ka </w:t>
            </w:r>
            <w:r w:rsidR="003A33D6" w:rsidRPr="00E30391">
              <w:rPr>
                <w:rFonts w:ascii="Times New Roman" w:hAnsi="Times New Roman" w:cs="Times New Roman"/>
              </w:rPr>
              <w:t xml:space="preserve">ir veicis </w:t>
            </w:r>
            <w:r>
              <w:rPr>
                <w:rFonts w:ascii="Times New Roman" w:hAnsi="Times New Roman" w:cs="Times New Roman"/>
              </w:rPr>
              <w:t>sabiedrisko pakalpojumu sniedzēja</w:t>
            </w:r>
            <w:r w:rsidR="003A33D6" w:rsidRPr="00E30391">
              <w:rPr>
                <w:rFonts w:ascii="Times New Roman" w:hAnsi="Times New Roman" w:cs="Times New Roman"/>
              </w:rPr>
              <w:t xml:space="preserve"> izsludinātās sarunu procedūras, publicējot dalības uzaicinājumu, “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Daugavpils pieņemšanas parka un tam piebraucamo ceļu attīstība – būvniecība” </w:t>
            </w:r>
            <w:r w:rsidR="003A33D6" w:rsidRPr="00E30391">
              <w:rPr>
                <w:rFonts w:ascii="Times New Roman" w:hAnsi="Times New Roman" w:cs="Times New Roman"/>
              </w:rPr>
              <w:t>(iepirkuma identifikācijas Nr.2017/7-IB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/6.2.1.2/16/I/003/01-01) (turpmāk – Sarunu procedūra) nolikuma izvērtējumu un tajā konstatējis nepilnības, kā rezultātā minētajā </w:t>
            </w:r>
            <w:r>
              <w:rPr>
                <w:rFonts w:ascii="Times New Roman" w:hAnsi="Times New Roman" w:cs="Times New Roman"/>
                <w:lang w:eastAsia="lv-LV"/>
              </w:rPr>
              <w:t xml:space="preserve">Sarunu procedūras 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nolikumā veicami grozījumi, kas saskaņā ar SPSIL, iepirkuma procedūrā </w:t>
            </w:r>
            <w:r w:rsidR="00D276AF">
              <w:rPr>
                <w:rFonts w:ascii="Times New Roman" w:hAnsi="Times New Roman" w:cs="Times New Roman"/>
                <w:lang w:eastAsia="lv-LV"/>
              </w:rPr>
              <w:t>“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>sarunu procedūra, publicējot dalības uzaicinājumu</w:t>
            </w:r>
            <w:r w:rsidR="00D276AF">
              <w:rPr>
                <w:rFonts w:ascii="Times New Roman" w:hAnsi="Times New Roman" w:cs="Times New Roman"/>
                <w:lang w:eastAsia="lv-LV"/>
              </w:rPr>
              <w:t>”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 nav pieļaujami. IUB savā </w:t>
            </w:r>
            <w:r w:rsidR="003A33D6" w:rsidRPr="00526C0C">
              <w:rPr>
                <w:rFonts w:ascii="Times New Roman" w:hAnsi="Times New Roman" w:cs="Times New Roman"/>
                <w:lang w:eastAsia="lv-LV"/>
              </w:rPr>
              <w:t>Atzinumā norāda, ka Sarunu procedūra ir pārtraucama</w:t>
            </w:r>
            <w:r w:rsidR="00526C0C" w:rsidRPr="00526C0C">
              <w:rPr>
                <w:rFonts w:ascii="Times New Roman" w:hAnsi="Times New Roman" w:cs="Times New Roman"/>
                <w:lang w:eastAsia="lv-LV"/>
              </w:rPr>
              <w:t>.</w:t>
            </w:r>
            <w:r w:rsidR="003A33D6" w:rsidRPr="00526C0C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="003A33D6" w:rsidRPr="00526C0C">
              <w:rPr>
                <w:rFonts w:ascii="Times New Roman" w:hAnsi="Times New Roman" w:cs="Times New Roman"/>
              </w:rPr>
              <w:t xml:space="preserve">Sabiedrisko pakalpojumu sniedzējs 2017.gada 8.maijā pieņēma lēmumu pārtraukt </w:t>
            </w:r>
            <w:r w:rsidR="003A33D6" w:rsidRPr="00526C0C">
              <w:rPr>
                <w:rFonts w:ascii="Times New Roman" w:hAnsi="Times New Roman" w:cs="Times New Roman"/>
                <w:bCs/>
              </w:rPr>
              <w:t>sarunu procedūr</w:t>
            </w:r>
            <w:r w:rsidR="0080317A">
              <w:rPr>
                <w:rFonts w:ascii="Times New Roman" w:hAnsi="Times New Roman" w:cs="Times New Roman"/>
                <w:bCs/>
              </w:rPr>
              <w:t>u</w:t>
            </w:r>
            <w:r w:rsidR="003A33D6" w:rsidRPr="00526C0C">
              <w:rPr>
                <w:rFonts w:ascii="Times New Roman" w:hAnsi="Times New Roman" w:cs="Times New Roman"/>
                <w:bCs/>
              </w:rPr>
              <w:t xml:space="preserve">, publicējot dalības uzaicinājumu, </w:t>
            </w:r>
            <w:r w:rsidR="0080317A">
              <w:rPr>
                <w:rFonts w:ascii="Times New Roman" w:hAnsi="Times New Roman" w:cs="Times New Roman"/>
              </w:rPr>
              <w:t>“D</w:t>
            </w:r>
            <w:r w:rsidR="0080317A" w:rsidRPr="00E30391">
              <w:rPr>
                <w:rFonts w:ascii="Times New Roman" w:hAnsi="Times New Roman" w:cs="Times New Roman"/>
                <w:lang w:eastAsia="lv-LV"/>
              </w:rPr>
              <w:t xml:space="preserve">augavpils pieņemšanas parka un tam piebraucamo ceļu attīstība – būvniecība” </w:t>
            </w:r>
            <w:r w:rsidR="0080317A" w:rsidRPr="00E30391">
              <w:rPr>
                <w:rFonts w:ascii="Times New Roman" w:hAnsi="Times New Roman" w:cs="Times New Roman"/>
              </w:rPr>
              <w:t>(iepirkuma identifikācijas Nr.2017/7-IB</w:t>
            </w:r>
            <w:r w:rsidR="0080317A" w:rsidRPr="00E30391">
              <w:rPr>
                <w:rFonts w:ascii="Times New Roman" w:hAnsi="Times New Roman" w:cs="Times New Roman"/>
                <w:lang w:eastAsia="lv-LV"/>
              </w:rPr>
              <w:t>/6.2.1.2/16/I/003/01-01)</w:t>
            </w:r>
            <w:r w:rsidR="003A33D6" w:rsidRPr="00526C0C">
              <w:rPr>
                <w:rFonts w:ascii="Times New Roman" w:hAnsi="Times New Roman" w:cs="Times New Roman"/>
              </w:rPr>
              <w:t>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iedāvājuma noraidīšanas pamatojums, ja iepirkuma komisija atzinusi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par nepamatoti lētu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emesli, kuru dēļ netiek paredzēta elektroniska pieteikumu un piedāvājumu iesniegšana, ja sabiedrisko pakalpojumu sniedzējam ir pienākums pieteikumu un piedāvājumu saņemšanai izmantot elek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troniskās informācijas sistēmas</w:t>
            </w:r>
          </w:p>
        </w:tc>
        <w:tc>
          <w:tcPr>
            <w:tcW w:w="5234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pienākums.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onstatētie interešu konflikti un pasākumi, kas veikti to novēršanai</w:t>
            </w:r>
          </w:p>
        </w:tc>
        <w:tc>
          <w:tcPr>
            <w:tcW w:w="5234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E10" w:rsidSect="00526C0C">
      <w:pgSz w:w="11906" w:h="16838"/>
      <w:pgMar w:top="568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354BF1"/>
    <w:rsid w:val="003A33D6"/>
    <w:rsid w:val="00416B80"/>
    <w:rsid w:val="00526C0C"/>
    <w:rsid w:val="00640B07"/>
    <w:rsid w:val="007B360D"/>
    <w:rsid w:val="0080317A"/>
    <w:rsid w:val="008852AE"/>
    <w:rsid w:val="0091034A"/>
    <w:rsid w:val="009C1E10"/>
    <w:rsid w:val="00AF7D37"/>
    <w:rsid w:val="00C55AAF"/>
    <w:rsid w:val="00D276AF"/>
    <w:rsid w:val="00D340F2"/>
    <w:rsid w:val="00E16923"/>
    <w:rsid w:val="00E30391"/>
    <w:rsid w:val="00E67B47"/>
    <w:rsid w:val="00E75560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54B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A3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dz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1435-DBDC-498B-9DB5-C7862CD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3659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Iveta Dementjeva</cp:lastModifiedBy>
  <cp:revision>2</cp:revision>
  <dcterms:created xsi:type="dcterms:W3CDTF">2017-05-09T07:59:00Z</dcterms:created>
  <dcterms:modified xsi:type="dcterms:W3CDTF">2017-05-09T07:59:00Z</dcterms:modified>
</cp:coreProperties>
</file>