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60" w:rsidRPr="002442FC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442FC">
        <w:rPr>
          <w:rFonts w:ascii="Times New Roman" w:hAnsi="Times New Roman" w:cs="Times New Roman"/>
          <w:b/>
          <w:bCs/>
          <w:sz w:val="24"/>
          <w:szCs w:val="24"/>
        </w:rPr>
        <w:t>Sarunu procedūra, publicējot dalības uzaicinājumu, “</w:t>
      </w:r>
      <w:r w:rsidR="002442FC" w:rsidRPr="002442FC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="002442FC" w:rsidRPr="002442FC">
        <w:rPr>
          <w:rFonts w:ascii="Times New Roman" w:hAnsi="Times New Roman" w:cs="Times New Roman"/>
          <w:b/>
          <w:sz w:val="24"/>
          <w:szCs w:val="24"/>
        </w:rPr>
        <w:t>zelzceļa balasta slāņa granīta šķembu piegāde</w:t>
      </w:r>
      <w:r w:rsidRPr="002442F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2442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iepirkuma procedūras ziņojums </w:t>
      </w:r>
    </w:p>
    <w:p w:rsidR="00E75560" w:rsidRPr="009C1E10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noteikumu Nr. 187 “</w:t>
      </w:r>
      <w:r w:rsidRPr="00F2799F">
        <w:rPr>
          <w:rFonts w:ascii="Times New Roman" w:hAnsi="Times New Roman" w:cs="Times New Roman"/>
          <w:sz w:val="20"/>
          <w:szCs w:val="20"/>
        </w:rPr>
        <w:t>Sabiedrisko pakalpojumu sniedzēju iepirkuma procedūru un metu konkursu norises kārtība” 98.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23"/>
        <w:gridCol w:w="5368"/>
        <w:gridCol w:w="7938"/>
      </w:tblGrid>
      <w:tr w:rsidR="00E75560" w:rsidRPr="009C1E10" w:rsidTr="00FF6F2E">
        <w:tc>
          <w:tcPr>
            <w:tcW w:w="723" w:type="dxa"/>
          </w:tcPr>
          <w:p w:rsidR="00E75560" w:rsidRPr="009C1E10" w:rsidRDefault="00E75560" w:rsidP="009C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368" w:type="dxa"/>
          </w:tcPr>
          <w:p w:rsidR="00E75560" w:rsidRPr="009C1E10" w:rsidRDefault="00E7556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iekļauj</w:t>
            </w:r>
            <w:r w:rsidRPr="009C1E1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amās ziņas</w:t>
            </w:r>
          </w:p>
        </w:tc>
        <w:tc>
          <w:tcPr>
            <w:tcW w:w="7938" w:type="dxa"/>
          </w:tcPr>
          <w:p w:rsidR="00E75560" w:rsidRPr="009C1E10" w:rsidRDefault="009C1E1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560"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nformācija izpildei</w:t>
            </w:r>
          </w:p>
        </w:tc>
      </w:tr>
      <w:tr w:rsidR="00E75560" w:rsidRPr="009C1E10" w:rsidTr="00FF6F2E">
        <w:tc>
          <w:tcPr>
            <w:tcW w:w="723" w:type="dxa"/>
          </w:tcPr>
          <w:p w:rsidR="00E7556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368" w:type="dxa"/>
          </w:tcPr>
          <w:p w:rsidR="00E75560" w:rsidRPr="009C1E10" w:rsidRDefault="00D62BAA" w:rsidP="007B360D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abiedrisko pakalpojumu sniedzēja nosaukums un adrese, iepirkuma identifikācijas numurs, iepirkuma procedūras veids un tās izvēles pamatojums, kā arī iepirkuma līguma vai v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ispārīgās vienošanās priekšmets</w:t>
            </w:r>
          </w:p>
        </w:tc>
        <w:tc>
          <w:tcPr>
            <w:tcW w:w="7938" w:type="dxa"/>
          </w:tcPr>
          <w:p w:rsidR="007B360D" w:rsidRPr="002442FC" w:rsidRDefault="009C1E10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2FC">
              <w:rPr>
                <w:rFonts w:ascii="Times New Roman" w:hAnsi="Times New Roman" w:cs="Times New Roman"/>
                <w:sz w:val="24"/>
                <w:szCs w:val="24"/>
              </w:rPr>
              <w:t xml:space="preserve">Valsts akciju sabiedrība "Latvijas dzelzceļš", </w:t>
            </w:r>
            <w:r w:rsidR="00D62BAA">
              <w:rPr>
                <w:rFonts w:ascii="Times New Roman" w:hAnsi="Times New Roman" w:cs="Times New Roman"/>
                <w:sz w:val="24"/>
                <w:szCs w:val="24"/>
              </w:rPr>
              <w:t>Latvija, Rīga, Gogoļa iela 3;</w:t>
            </w:r>
          </w:p>
          <w:p w:rsidR="009C1E10" w:rsidRDefault="00D62BAA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iepirkuma identifikācijas Nr. </w:t>
            </w:r>
            <w:r w:rsidR="002442FC" w:rsidRPr="002442FC">
              <w:rPr>
                <w:rFonts w:ascii="Times New Roman" w:hAnsi="Times New Roman"/>
                <w:bCs/>
                <w:sz w:val="24"/>
                <w:szCs w:val="24"/>
              </w:rPr>
              <w:t>LDZ 2017/1-IB</w:t>
            </w:r>
            <w:r w:rsidR="00130F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BAA" w:rsidRPr="00130F6E" w:rsidRDefault="00130F6E" w:rsidP="00416B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F6E">
              <w:rPr>
                <w:rFonts w:ascii="Times New Roman" w:hAnsi="Times New Roman" w:cs="Times New Roman"/>
                <w:szCs w:val="24"/>
              </w:rPr>
              <w:t>sarunu procedūras, publicējot dalības uzaicinājumu, “Dzelzceļa balasta slāņa granīta šķembu piegāde”</w:t>
            </w:r>
            <w:r w:rsidRPr="00130F6E">
              <w:rPr>
                <w:rFonts w:ascii="Times New Roman" w:hAnsi="Times New Roman" w:cs="Times New Roman"/>
                <w:szCs w:val="24"/>
              </w:rPr>
              <w:t xml:space="preserve"> (turpmāk – sarunu procedūra) veids:</w:t>
            </w:r>
            <w:r w:rsidRPr="00130F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0F6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C1E10" w:rsidRPr="00130F6E">
              <w:rPr>
                <w:rFonts w:ascii="Times New Roman" w:hAnsi="Times New Roman" w:cs="Times New Roman"/>
                <w:bCs/>
                <w:sz w:val="24"/>
                <w:szCs w:val="24"/>
              </w:rPr>
              <w:t>arunu procedūra, publicējot dalības uzaicinājumu</w:t>
            </w:r>
            <w:r w:rsidR="00D62BAA" w:rsidRPr="00130F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C1E10" w:rsidRPr="00130F6E" w:rsidRDefault="00D62BAA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F6E">
              <w:rPr>
                <w:rFonts w:ascii="Times New Roman" w:hAnsi="Times New Roman" w:cs="Times New Roman"/>
                <w:bCs/>
                <w:sz w:val="24"/>
                <w:szCs w:val="24"/>
              </w:rPr>
              <w:t>procedūras veids</w:t>
            </w:r>
            <w:r w:rsidR="00416B80" w:rsidRPr="00130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40F2" w:rsidRPr="00130F6E">
              <w:rPr>
                <w:rFonts w:ascii="Times New Roman" w:hAnsi="Times New Roman" w:cs="Times New Roman"/>
                <w:bCs/>
                <w:sz w:val="24"/>
                <w:szCs w:val="24"/>
              </w:rPr>
              <w:t>tika</w:t>
            </w:r>
            <w:r w:rsidR="00416B80" w:rsidRPr="00130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izvēlēts, izpildot </w:t>
            </w:r>
            <w:r w:rsidR="00416B80" w:rsidRPr="00130F6E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likuma prasības</w:t>
            </w:r>
            <w:r w:rsidR="007B360D" w:rsidRPr="00130F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6B80" w:rsidRPr="002442FC" w:rsidRDefault="00130F6E" w:rsidP="00D3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16B80" w:rsidRPr="00244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arunu procedūras priekšmets </w:t>
            </w:r>
            <w:r w:rsidR="00D340F2" w:rsidRPr="00244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416B80" w:rsidRPr="00244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442FC" w:rsidRPr="004F2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Dzelzceļa balasta slāņa granīta šķembas (frakcija no 31,5 mm līdz 63 mm) atbilstoši LVS EN 13450+AC (2004.g.dec.) standartam vai tā ekvivalentam </w:t>
            </w:r>
            <w:r w:rsidR="002442FC" w:rsidRPr="004F268F">
              <w:rPr>
                <w:rFonts w:ascii="Times New Roman" w:hAnsi="Times New Roman"/>
                <w:sz w:val="24"/>
                <w:szCs w:val="24"/>
              </w:rPr>
              <w:t>saskaņā ar Tehnisko specifikāciju un piegādes noteikumiem</w:t>
            </w:r>
            <w:r w:rsidR="00416B80" w:rsidRPr="00244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75560" w:rsidRPr="009C1E10" w:rsidTr="00FF6F2E">
        <w:tc>
          <w:tcPr>
            <w:tcW w:w="723" w:type="dxa"/>
          </w:tcPr>
          <w:p w:rsidR="00E7556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8" w:type="dxa"/>
          </w:tcPr>
          <w:p w:rsidR="00E75560" w:rsidRPr="009C1E10" w:rsidRDefault="00D62BAA" w:rsidP="00416B80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atums, kad paziņojums par līgumu un periodiskais informatīvais paziņojums, ja tāds ir izmantots, publicēts Eiropas Savienības Oficiālajā Vēstnesī, un Iepirkumu uzraudzī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bas biroja tīmekļvietnē</w:t>
            </w:r>
          </w:p>
        </w:tc>
        <w:tc>
          <w:tcPr>
            <w:tcW w:w="7938" w:type="dxa"/>
          </w:tcPr>
          <w:p w:rsidR="00416B80" w:rsidRPr="00D62BAA" w:rsidRDefault="00416B80" w:rsidP="00F27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="00E939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- 11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.01.</w:t>
            </w:r>
            <w:r w:rsidR="00E939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D62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D62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390D" w:rsidRPr="00D62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</w:t>
            </w:r>
          </w:p>
          <w:p w:rsidR="00E75560" w:rsidRPr="00416B80" w:rsidRDefault="00416B80" w:rsidP="00D6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="00E9390D" w:rsidRPr="00D62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 biroja tīmekļvietnē – 09</w:t>
            </w:r>
            <w:r w:rsidRPr="00D62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.01.</w:t>
            </w:r>
            <w:r w:rsidR="00E9390D" w:rsidRPr="00D62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D62BAA" w:rsidRPr="00D62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890F16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8" w:type="dxa"/>
          </w:tcPr>
          <w:p w:rsidR="009C1E10" w:rsidRPr="009C1E10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epirkuma komisijas sastāvs un tās izveidošanas pamatojums, iepirkuma procedūras dokumentu sagatavotāji un pieaicinātie eksperti;</w:t>
            </w:r>
            <w:r w:rsidR="00E9390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7938" w:type="dxa"/>
          </w:tcPr>
          <w:p w:rsidR="00E16923" w:rsidRPr="00E16923" w:rsidRDefault="00E16923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komisijas sastāvs un tās izve</w:t>
            </w:r>
            <w:r w:rsidR="00D340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idošanas pamatojums tika noteikts ar</w:t>
            </w:r>
            <w:r w:rsidR="00D340F2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>Sabiedrisko pakalp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ojumu sniedzēju iepirkumu likumu,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iekšējie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m normatīvajiem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akti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em,</w:t>
            </w:r>
            <w:r w:rsidR="00D340F2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</w:t>
            </w: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>"Latvijas dzelzceļš" rīkojumu.</w:t>
            </w:r>
          </w:p>
          <w:p w:rsidR="009C1E10" w:rsidRPr="00E16923" w:rsidRDefault="00657AC5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Sastāvs: </w:t>
            </w:r>
            <w:r w:rsidR="00416B80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Tehniskās vadības direkcijas, Finanšu direkcijas, Juridisko un  administratīvo lietu direkcijas, </w:t>
            </w:r>
            <w:r w:rsidR="007B360D" w:rsidRPr="00E16923">
              <w:rPr>
                <w:rFonts w:ascii="Times New Roman" w:hAnsi="Times New Roman" w:cs="Times New Roman"/>
                <w:sz w:val="24"/>
                <w:szCs w:val="24"/>
              </w:rPr>
              <w:t>Iepirkumu biroja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darbinieki</w:t>
            </w:r>
            <w:r w:rsidR="007B360D" w:rsidRPr="00E16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60D" w:rsidRPr="00E16923" w:rsidRDefault="00F2799F" w:rsidP="00640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epirkuma procedūras dokumentu sagatavotāji: Iepirkumu biroja darbinieki sadarbībā ar Tehniskās vadības direkcijas </w:t>
            </w: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pārstāvjiem</w:t>
            </w:r>
            <w:r w:rsidR="00657A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7B360D" w:rsidRPr="009C1E10" w:rsidRDefault="007B360D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Pieaicinātie eksperti: nav.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8" w:type="dxa"/>
          </w:tcPr>
          <w:p w:rsidR="009C1E10" w:rsidRPr="009C1E10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ieteikumu un sākotnējo p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iedāvājumu iesniegšanas termiņš</w:t>
            </w:r>
          </w:p>
        </w:tc>
        <w:tc>
          <w:tcPr>
            <w:tcW w:w="7938" w:type="dxa"/>
          </w:tcPr>
          <w:p w:rsidR="00D340F2" w:rsidRDefault="00D340F2" w:rsidP="00D3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Pieteikumi</w:t>
            </w:r>
            <w:r w:rsidR="00C075F9">
              <w:rPr>
                <w:rFonts w:ascii="Times New Roman" w:hAnsi="Times New Roman" w:cs="Times New Roman"/>
                <w:sz w:val="24"/>
                <w:szCs w:val="24"/>
              </w:rPr>
              <w:t xml:space="preserve"> (I posms)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075F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.2017. plkst. 10.00; </w:t>
            </w:r>
          </w:p>
          <w:p w:rsidR="009C1E10" w:rsidRPr="00D340F2" w:rsidRDefault="00C075F9" w:rsidP="00D340F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Piedāvājumi (II posms)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340F2" w:rsidRPr="00F2799F">
              <w:rPr>
                <w:rFonts w:ascii="Times New Roman" w:hAnsi="Times New Roman" w:cs="Times New Roman"/>
                <w:sz w:val="24"/>
                <w:szCs w:val="24"/>
              </w:rPr>
              <w:t>.03.2017. plkst.10.00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8" w:type="dxa"/>
          </w:tcPr>
          <w:p w:rsidR="009C1E10" w:rsidRPr="009C1E10" w:rsidRDefault="00D62BAA" w:rsidP="00640B07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 piegādātāju nosaukumi, kuri pieteikušies uz kandidātu atlasi, un to pretendentu nosaukumi, kuri ir iesnieguši piedāvājumus, kā ar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ī piedāvātās cenas vai izmaksas</w:t>
            </w:r>
          </w:p>
        </w:tc>
        <w:tc>
          <w:tcPr>
            <w:tcW w:w="7938" w:type="dxa"/>
          </w:tcPr>
          <w:p w:rsidR="009C1E10" w:rsidRPr="00C075F9" w:rsidRDefault="00D62BAA" w:rsidP="00D62BAA">
            <w:pPr>
              <w:pStyle w:val="BodyTextIndent"/>
              <w:spacing w:after="120"/>
              <w:rPr>
                <w:szCs w:val="24"/>
              </w:rPr>
            </w:pPr>
            <w:r>
              <w:rPr>
                <w:szCs w:val="24"/>
                <w:lang w:eastAsia="lv-LV"/>
              </w:rPr>
              <w:t xml:space="preserve">1) </w:t>
            </w:r>
            <w:r w:rsidR="00C075F9" w:rsidRPr="00C075F9">
              <w:rPr>
                <w:szCs w:val="24"/>
                <w:lang w:eastAsia="lv-LV"/>
              </w:rPr>
              <w:t xml:space="preserve">Piegādātāji, kas  </w:t>
            </w:r>
            <w:r w:rsidR="00D340F2" w:rsidRPr="00C075F9">
              <w:rPr>
                <w:szCs w:val="24"/>
                <w:lang w:eastAsia="lv-LV"/>
              </w:rPr>
              <w:t xml:space="preserve">bija </w:t>
            </w:r>
            <w:r w:rsidR="0008608A" w:rsidRPr="00C075F9">
              <w:rPr>
                <w:szCs w:val="24"/>
                <w:lang w:eastAsia="lv-LV"/>
              </w:rPr>
              <w:t>pieteikušies uz kandidātu atlas</w:t>
            </w:r>
            <w:r w:rsidR="00C075F9" w:rsidRPr="00C075F9">
              <w:rPr>
                <w:szCs w:val="24"/>
                <w:lang w:eastAsia="lv-LV"/>
              </w:rPr>
              <w:t>i (skaits 11):</w:t>
            </w:r>
            <w:r w:rsidR="0008608A" w:rsidRPr="00C075F9">
              <w:rPr>
                <w:szCs w:val="24"/>
                <w:lang w:eastAsia="lv-LV"/>
              </w:rPr>
              <w:t xml:space="preserve"> </w:t>
            </w:r>
            <w:r w:rsidR="00C075F9">
              <w:t>"</w:t>
            </w:r>
            <w:proofErr w:type="spellStart"/>
            <w:r w:rsidR="00C075F9">
              <w:t>Ruu</w:t>
            </w:r>
            <w:proofErr w:type="spellEnd"/>
            <w:r w:rsidR="00C075F9">
              <w:t xml:space="preserve"> Kivi" OU, SIA "VLAKON", UAB "</w:t>
            </w:r>
            <w:proofErr w:type="spellStart"/>
            <w:r w:rsidR="00C075F9">
              <w:t>Milsa</w:t>
            </w:r>
            <w:proofErr w:type="spellEnd"/>
            <w:r w:rsidR="00C075F9">
              <w:t xml:space="preserve">", </w:t>
            </w:r>
            <w:r w:rsidR="00C075F9" w:rsidRPr="002C0983">
              <w:t>piegādātāju apvienība SIA "</w:t>
            </w:r>
            <w:proofErr w:type="spellStart"/>
            <w:r w:rsidR="00C075F9" w:rsidRPr="002C0983">
              <w:t>Nordic</w:t>
            </w:r>
            <w:proofErr w:type="spellEnd"/>
            <w:r w:rsidR="00C075F9" w:rsidRPr="002C0983">
              <w:t xml:space="preserve"> </w:t>
            </w:r>
            <w:proofErr w:type="spellStart"/>
            <w:r w:rsidR="00C075F9" w:rsidRPr="002C0983">
              <w:t>Granit</w:t>
            </w:r>
            <w:proofErr w:type="spellEnd"/>
            <w:r w:rsidR="00C075F9" w:rsidRPr="002C0983">
              <w:t xml:space="preserve">" </w:t>
            </w:r>
            <w:r w:rsidR="00C075F9">
              <w:t>un OȔ "</w:t>
            </w:r>
            <w:proofErr w:type="spellStart"/>
            <w:r w:rsidR="00C075F9">
              <w:t>Graniidikeskus</w:t>
            </w:r>
            <w:proofErr w:type="spellEnd"/>
            <w:r w:rsidR="00C075F9">
              <w:t>", SIA "</w:t>
            </w:r>
            <w:proofErr w:type="spellStart"/>
            <w:r w:rsidR="00C075F9">
              <w:t>Yeoman</w:t>
            </w:r>
            <w:proofErr w:type="spellEnd"/>
            <w:r w:rsidR="00C075F9">
              <w:t xml:space="preserve"> Latvia", SIA ražošanas komercfirma "M2", AB "DOLOMITAS", SIA "EXTER", SIA "Garkalnes grants", personu apvienība "</w:t>
            </w:r>
            <w:proofErr w:type="spellStart"/>
            <w:r w:rsidR="00C075F9">
              <w:t>Eko</w:t>
            </w:r>
            <w:proofErr w:type="spellEnd"/>
            <w:r w:rsidR="00C075F9">
              <w:t xml:space="preserve"> MMS"</w:t>
            </w:r>
            <w:r w:rsidR="00C075F9" w:rsidRPr="00A56055">
              <w:t xml:space="preserve">, kas sastāv no SIA "Minerālmateriālu serviss" un SIA "ZS </w:t>
            </w:r>
            <w:proofErr w:type="spellStart"/>
            <w:r w:rsidR="00C075F9" w:rsidRPr="00A56055">
              <w:t>Ekorapsis</w:t>
            </w:r>
            <w:proofErr w:type="spellEnd"/>
            <w:r w:rsidR="00C075F9" w:rsidRPr="00A56055">
              <w:t>"</w:t>
            </w:r>
            <w:r>
              <w:t>, SIA "CEMEX".</w:t>
            </w:r>
          </w:p>
          <w:p w:rsidR="00C075F9" w:rsidRPr="00C075F9" w:rsidRDefault="00D62BAA" w:rsidP="00D62BAA">
            <w:pPr>
              <w:pStyle w:val="BodyTextIndent"/>
              <w:tabs>
                <w:tab w:val="left" w:pos="281"/>
              </w:tabs>
              <w:spacing w:after="120"/>
              <w:rPr>
                <w:szCs w:val="24"/>
              </w:rPr>
            </w:pPr>
            <w:r>
              <w:rPr>
                <w:szCs w:val="24"/>
                <w:lang w:eastAsia="lv-LV"/>
              </w:rPr>
              <w:t xml:space="preserve">2) </w:t>
            </w:r>
            <w:r w:rsidR="00C075F9">
              <w:rPr>
                <w:szCs w:val="24"/>
                <w:lang w:eastAsia="lv-LV"/>
              </w:rPr>
              <w:t>Pretendenti</w:t>
            </w:r>
            <w:r w:rsidR="0008608A" w:rsidRPr="00E75560">
              <w:rPr>
                <w:szCs w:val="24"/>
                <w:lang w:eastAsia="lv-LV"/>
              </w:rPr>
              <w:t>, kuri ir iesnieguši piedāvājumus</w:t>
            </w:r>
            <w:r w:rsidR="00C075F9">
              <w:rPr>
                <w:szCs w:val="24"/>
                <w:lang w:eastAsia="lv-LV"/>
              </w:rPr>
              <w:t>:</w:t>
            </w:r>
            <w:r w:rsidR="0008608A" w:rsidRPr="00640B07">
              <w:rPr>
                <w:szCs w:val="24"/>
                <w:lang w:eastAsia="lv-LV"/>
              </w:rPr>
              <w:t xml:space="preserve"> </w:t>
            </w:r>
            <w:r w:rsidR="00C075F9">
              <w:t>"</w:t>
            </w:r>
            <w:proofErr w:type="spellStart"/>
            <w:r w:rsidR="00C075F9">
              <w:t>Ruu</w:t>
            </w:r>
            <w:proofErr w:type="spellEnd"/>
            <w:r w:rsidR="00C075F9">
              <w:t xml:space="preserve"> Kivi" OU, </w:t>
            </w:r>
            <w:r w:rsidR="00C075F9" w:rsidRPr="002C0983">
              <w:t>piegādātāju apvienība SIA "</w:t>
            </w:r>
            <w:proofErr w:type="spellStart"/>
            <w:r w:rsidR="00C075F9" w:rsidRPr="002C0983">
              <w:t>Nordic</w:t>
            </w:r>
            <w:proofErr w:type="spellEnd"/>
            <w:r w:rsidR="00C075F9" w:rsidRPr="002C0983">
              <w:t xml:space="preserve"> </w:t>
            </w:r>
            <w:proofErr w:type="spellStart"/>
            <w:r w:rsidR="00C075F9" w:rsidRPr="002C0983">
              <w:t>Granit</w:t>
            </w:r>
            <w:proofErr w:type="spellEnd"/>
            <w:r w:rsidR="00C075F9" w:rsidRPr="002C0983">
              <w:t xml:space="preserve">" </w:t>
            </w:r>
            <w:r w:rsidR="00C075F9">
              <w:t>un OȔ "</w:t>
            </w:r>
            <w:proofErr w:type="spellStart"/>
            <w:r w:rsidR="00C075F9">
              <w:t>Graniidikeskus</w:t>
            </w:r>
            <w:proofErr w:type="spellEnd"/>
            <w:r w:rsidR="00C075F9">
              <w:t>", SIA "</w:t>
            </w:r>
            <w:proofErr w:type="spellStart"/>
            <w:r w:rsidR="00C075F9">
              <w:t>Yeoman</w:t>
            </w:r>
            <w:proofErr w:type="spellEnd"/>
            <w:r w:rsidR="00C075F9">
              <w:t xml:space="preserve"> Latvia", </w:t>
            </w:r>
            <w:r w:rsidR="00C075F9">
              <w:lastRenderedPageBreak/>
              <w:t>SIA ražošanas komercfirma "M2", AB "DOLOMITAS", SIA "EXTER", SIA "Garkalnes grants", personu apvienība "</w:t>
            </w:r>
            <w:proofErr w:type="spellStart"/>
            <w:r w:rsidR="00C075F9">
              <w:t>Eko</w:t>
            </w:r>
            <w:proofErr w:type="spellEnd"/>
            <w:r w:rsidR="00C075F9">
              <w:t xml:space="preserve"> MMS"</w:t>
            </w:r>
            <w:r w:rsidR="00C075F9" w:rsidRPr="00A56055">
              <w:t xml:space="preserve">, kas sastāv no SIA "Minerālmateriālu serviss" un SIA "ZS </w:t>
            </w:r>
            <w:proofErr w:type="spellStart"/>
            <w:r w:rsidR="00C075F9" w:rsidRPr="00A56055">
              <w:t>Ekorapsis</w:t>
            </w:r>
            <w:proofErr w:type="spellEnd"/>
            <w:r w:rsidR="00C075F9" w:rsidRPr="00A56055">
              <w:t>"</w:t>
            </w:r>
            <w:r w:rsidR="00C075F9">
              <w:t>.</w:t>
            </w:r>
          </w:p>
          <w:p w:rsidR="0008608A" w:rsidRPr="009C1E10" w:rsidRDefault="0008608A" w:rsidP="00FF6F2E">
            <w:pPr>
              <w:tabs>
                <w:tab w:val="left" w:pos="45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Piedāvātās cenas skatīt šī ziņojuma pielikumā</w:t>
            </w:r>
            <w:r w:rsidR="00FF6F2E">
              <w:rPr>
                <w:rFonts w:ascii="Times New Roman" w:hAnsi="Times New Roman" w:cs="Times New Roman"/>
                <w:sz w:val="24"/>
                <w:szCs w:val="24"/>
              </w:rPr>
              <w:t xml:space="preserve"> Nr.1</w:t>
            </w:r>
            <w:r w:rsidR="00D62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99F">
              <w:rPr>
                <w:rFonts w:ascii="Times New Roman" w:hAnsi="Times New Roman" w:cs="Times New Roman"/>
                <w:sz w:val="24"/>
                <w:szCs w:val="24"/>
              </w:rPr>
              <w:t xml:space="preserve"> tekstā zemāk</w:t>
            </w: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68" w:type="dxa"/>
          </w:tcPr>
          <w:p w:rsidR="009C1E10" w:rsidRPr="009C1E10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andidātu skaita samazināšanas gadījumā norāda izraudzīto kandidātu nosaukumus un to izraudzīšanās iemeslus, noraidīto kandidātu nosauku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mus un to noraidīšanas iemeslus</w:t>
            </w:r>
          </w:p>
        </w:tc>
        <w:tc>
          <w:tcPr>
            <w:tcW w:w="7938" w:type="dxa"/>
          </w:tcPr>
          <w:p w:rsidR="009C1E10" w:rsidRPr="00F2799F" w:rsidRDefault="00E16923" w:rsidP="00E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Saskaņā ar nolikuma noteikumiem nav paredzēts.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8" w:type="dxa"/>
          </w:tcPr>
          <w:p w:rsidR="009C1E10" w:rsidRPr="009C1E10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iedāvājumu skaita samazināšanas gadījumā norāda izraudzīto pretendentu nosaukumus un to izraudzīšanās iemeslus, noraidīto pretendentu nosauku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mus un to noraidīšanas iemeslus</w:t>
            </w:r>
          </w:p>
        </w:tc>
        <w:tc>
          <w:tcPr>
            <w:tcW w:w="7938" w:type="dxa"/>
          </w:tcPr>
          <w:p w:rsidR="009C1E10" w:rsidRPr="00F2799F" w:rsidRDefault="00E16923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Saskaņā ar nolikuma noteikumiem nav paredzēts.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8" w:type="dxa"/>
          </w:tcPr>
          <w:p w:rsidR="009C1E10" w:rsidRPr="009C1E10" w:rsidRDefault="00D62BAA" w:rsidP="00F279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ieteikumu un piedāvājumu at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vēršanas vieta, datums un laiks</w:t>
            </w:r>
          </w:p>
        </w:tc>
        <w:tc>
          <w:tcPr>
            <w:tcW w:w="7938" w:type="dxa"/>
          </w:tcPr>
          <w:p w:rsidR="00A0167D" w:rsidRDefault="00A0167D" w:rsidP="00A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Pieteikumi (I posms): 10.02</w:t>
            </w: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 xml:space="preserve">.2017. plkst. 10.00; </w:t>
            </w:r>
          </w:p>
          <w:p w:rsidR="009C1E10" w:rsidRPr="00F2799F" w:rsidRDefault="00A0167D" w:rsidP="00A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Piedāvājumi (II posms): 07</w:t>
            </w:r>
            <w:r w:rsidRPr="00F2799F">
              <w:rPr>
                <w:rFonts w:ascii="Times New Roman" w:hAnsi="Times New Roman" w:cs="Times New Roman"/>
                <w:sz w:val="24"/>
                <w:szCs w:val="24"/>
              </w:rPr>
              <w:t>.03.2017. plkst.10.00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8" w:type="dxa"/>
          </w:tcPr>
          <w:p w:rsidR="009C1E10" w:rsidRPr="009C1E10" w:rsidRDefault="00D62BAA" w:rsidP="009C1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arunu posmi un to rezultāti</w:t>
            </w:r>
          </w:p>
        </w:tc>
        <w:tc>
          <w:tcPr>
            <w:tcW w:w="7938" w:type="dxa"/>
          </w:tcPr>
          <w:p w:rsidR="009C1E10" w:rsidRPr="00F2799F" w:rsidRDefault="00D12147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Individuālas sarunas</w:t>
            </w:r>
            <w:r w:rsidR="00C55AAF">
              <w:rPr>
                <w:rFonts w:ascii="Times New Roman" w:hAnsi="Times New Roman" w:cs="Times New Roman"/>
                <w:sz w:val="24"/>
                <w:szCs w:val="24"/>
              </w:rPr>
              <w:t xml:space="preserve"> netika veiktas.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8" w:type="dxa"/>
          </w:tcPr>
          <w:p w:rsidR="009C1E10" w:rsidRPr="00130F6E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0F6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</w:t>
            </w:r>
            <w:r w:rsidR="009C1E10" w:rsidRPr="00130F6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ā pretendenta (vai pretendentu) nosaukums, ar kuru (vai kuriem) nolemts slēgt iepirkuma līgumu, piedāvātā līgumcena, kā arī piedāvājumu izvērtēšanas kopsavilkums un pamatojums piedāvājuma izvēlei</w:t>
            </w:r>
          </w:p>
        </w:tc>
        <w:tc>
          <w:tcPr>
            <w:tcW w:w="7938" w:type="dxa"/>
          </w:tcPr>
          <w:p w:rsidR="00F2799F" w:rsidRPr="00130F6E" w:rsidRDefault="00130F6E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F6E">
              <w:rPr>
                <w:rFonts w:ascii="Times New Roman" w:hAnsi="Times New Roman" w:cs="Times New Roman"/>
              </w:rPr>
              <w:t>SIA "EXTER"(reģ.Nr.40003982702)</w:t>
            </w:r>
            <w:r w:rsidR="00640B07" w:rsidRPr="00130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799F" w:rsidRPr="00130F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piedāvātā līgumcena:</w:t>
            </w:r>
            <w:r w:rsidR="00F2799F" w:rsidRPr="0013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F6E">
              <w:rPr>
                <w:rFonts w:ascii="Times New Roman" w:hAnsi="Times New Roman" w:cs="Times New Roman"/>
              </w:rPr>
              <w:t>1 430 261.00 EUR;</w:t>
            </w:r>
          </w:p>
          <w:p w:rsidR="009C1E10" w:rsidRPr="00130F6E" w:rsidRDefault="00130F6E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F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F2799F" w:rsidRPr="00130F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iedāvājuma izvērtēšanas kopsavilkums: </w:t>
            </w:r>
            <w:r w:rsidR="00640B07" w:rsidRPr="00130F6E">
              <w:rPr>
                <w:rFonts w:ascii="Times New Roman" w:hAnsi="Times New Roman" w:cs="Times New Roman"/>
                <w:sz w:val="24"/>
                <w:szCs w:val="24"/>
              </w:rPr>
              <w:t>skatīt ziņojuma pielikumu Nr.1</w:t>
            </w:r>
            <w:r w:rsidR="00F2799F" w:rsidRPr="00130F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AAF" w:rsidRPr="00F2799F" w:rsidRDefault="00130F6E" w:rsidP="0013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F6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p</w:t>
            </w:r>
            <w:r w:rsidRPr="00130F6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amatojums piedāvājuma izvēlei:</w:t>
            </w:r>
            <w:r w:rsidRPr="00130F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0F6E">
              <w:rPr>
                <w:rFonts w:ascii="Times New Roman" w:hAnsi="Times New Roman" w:cs="Times New Roman"/>
                <w:szCs w:val="24"/>
              </w:rPr>
              <w:t>sarunu procedūras nolikuma prasībām atbilstošs piedāvājums ar viszemāko cenu.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8" w:type="dxa"/>
          </w:tcPr>
          <w:p w:rsidR="009C1E10" w:rsidRPr="00130F6E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0F6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</w:t>
            </w:r>
            <w:r w:rsidR="009C1E10" w:rsidRPr="00130F6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nformācija, ja tā ir zināma, par to iepirkuma līguma vai vispārīgās vienošanās daļu, kuru izraudzītais piegādātājs plānojis nodot apakšuzņēmējiem, kā arī apakšuzņēmēju nosaukumi</w:t>
            </w:r>
          </w:p>
        </w:tc>
        <w:tc>
          <w:tcPr>
            <w:tcW w:w="7938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68" w:type="dxa"/>
          </w:tcPr>
          <w:p w:rsidR="009C1E10" w:rsidRPr="009C1E10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amatojums lēmumam par katru noraidīto kandidātu un pretendentu, kā arī par katru iepirkuma procedūras dokumentiem neatbil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stošu pieteikumu un piedāvājumu</w:t>
            </w:r>
          </w:p>
        </w:tc>
        <w:tc>
          <w:tcPr>
            <w:tcW w:w="7938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8" w:type="dxa"/>
          </w:tcPr>
          <w:p w:rsidR="009C1E10" w:rsidRPr="009C1E10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ēmuma pamatojums, ja iepirkuma komisija pieņēmusi lēmumu pārtraukt 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 izbeigt iepirkuma procedūru</w:t>
            </w:r>
          </w:p>
        </w:tc>
        <w:tc>
          <w:tcPr>
            <w:tcW w:w="7938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8" w:type="dxa"/>
          </w:tcPr>
          <w:p w:rsidR="009C1E10" w:rsidRPr="009C1E10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iedāvājuma noraidīšanas pamatojums, ja iepirkuma komisija atzinusi 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piedāvājumu par nepamatoti lētu</w:t>
            </w:r>
          </w:p>
        </w:tc>
        <w:tc>
          <w:tcPr>
            <w:tcW w:w="7938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A01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68" w:type="dxa"/>
          </w:tcPr>
          <w:p w:rsidR="009C1E10" w:rsidRPr="009C1E10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emesli, kuru dēļ netiek paredzēta elektroniska pieteikumu un piedāvājumu iesniegšana, ja sabiedrisko pakalpojumu sniedzējam ir pienākums pieteikumu un piedāvājumu saņemšanai izmantot elek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troniskās informācijas sistēmas</w:t>
            </w:r>
          </w:p>
        </w:tc>
        <w:tc>
          <w:tcPr>
            <w:tcW w:w="7938" w:type="dxa"/>
          </w:tcPr>
          <w:p w:rsidR="009C1E10" w:rsidRPr="009C1E10" w:rsidRDefault="00F2799F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pienākums.</w:t>
            </w:r>
          </w:p>
        </w:tc>
      </w:tr>
      <w:tr w:rsidR="009C1E10" w:rsidRPr="009C1E10" w:rsidTr="00FF6F2E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68" w:type="dxa"/>
          </w:tcPr>
          <w:p w:rsidR="009C1E10" w:rsidRPr="009C1E10" w:rsidRDefault="00D62BAA" w:rsidP="009C1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onstatētie interešu konflikti un pasākumi, kas veikti to novēršanai</w:t>
            </w:r>
          </w:p>
        </w:tc>
        <w:tc>
          <w:tcPr>
            <w:tcW w:w="7938" w:type="dxa"/>
          </w:tcPr>
          <w:p w:rsidR="009C1E10" w:rsidRPr="009C1E10" w:rsidRDefault="00F2799F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:rsidR="009C1E10" w:rsidRDefault="009C1E10" w:rsidP="009C1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923" w:rsidRDefault="00E16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608A" w:rsidRPr="00F2799F" w:rsidRDefault="0008608A" w:rsidP="009C1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08A" w:rsidRPr="00F2799F" w:rsidRDefault="0008608A" w:rsidP="00E16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9F">
        <w:rPr>
          <w:rFonts w:ascii="Times New Roman" w:hAnsi="Times New Roman" w:cs="Times New Roman"/>
          <w:b/>
          <w:sz w:val="24"/>
          <w:szCs w:val="24"/>
        </w:rPr>
        <w:t xml:space="preserve">Pielikums Nr.1 </w:t>
      </w:r>
      <w:r w:rsidR="00640B07" w:rsidRPr="00F2799F">
        <w:rPr>
          <w:rFonts w:ascii="Times New Roman" w:hAnsi="Times New Roman" w:cs="Times New Roman"/>
          <w:b/>
          <w:sz w:val="24"/>
          <w:szCs w:val="24"/>
        </w:rPr>
        <w:t>p</w:t>
      </w:r>
      <w:r w:rsidRPr="00F2799F">
        <w:rPr>
          <w:rFonts w:ascii="Times New Roman" w:hAnsi="Times New Roman" w:cs="Times New Roman"/>
          <w:b/>
          <w:sz w:val="24"/>
          <w:szCs w:val="24"/>
        </w:rPr>
        <w:t>ie iepirkuma ziņojuma</w:t>
      </w:r>
      <w:r w:rsidR="00640B07" w:rsidRPr="00F2799F">
        <w:rPr>
          <w:rFonts w:ascii="Times New Roman" w:hAnsi="Times New Roman" w:cs="Times New Roman"/>
          <w:b/>
          <w:sz w:val="24"/>
          <w:szCs w:val="24"/>
        </w:rPr>
        <w:t xml:space="preserve"> (5.punkts):</w:t>
      </w:r>
    </w:p>
    <w:tbl>
      <w:tblPr>
        <w:tblStyle w:val="TableGrid"/>
        <w:tblW w:w="15414" w:type="dxa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1666"/>
        <w:gridCol w:w="1701"/>
        <w:gridCol w:w="1701"/>
        <w:gridCol w:w="1560"/>
        <w:gridCol w:w="1733"/>
        <w:gridCol w:w="1527"/>
        <w:gridCol w:w="1959"/>
        <w:gridCol w:w="1977"/>
      </w:tblGrid>
      <w:tr w:rsidR="00FF6F2E" w:rsidRPr="00380196" w:rsidTr="0037156E">
        <w:trPr>
          <w:jc w:val="center"/>
        </w:trPr>
        <w:tc>
          <w:tcPr>
            <w:tcW w:w="1590" w:type="dxa"/>
            <w:vMerge w:val="restart"/>
          </w:tcPr>
          <w:p w:rsidR="00FF6F2E" w:rsidRDefault="00FF6F2E" w:rsidP="0037156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:rsidR="00FF6F2E" w:rsidRPr="00F4667D" w:rsidRDefault="00FF6F2E" w:rsidP="0037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Dzelzceļa balasta slāņa granīta šķembas </w:t>
            </w:r>
          </w:p>
          <w:p w:rsidR="00FF6F2E" w:rsidRPr="00F4667D" w:rsidRDefault="00FF6F2E" w:rsidP="0037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83 300 t</w:t>
            </w:r>
          </w:p>
          <w:p w:rsidR="00FF6F2E" w:rsidRPr="00F4667D" w:rsidRDefault="00FF6F2E" w:rsidP="0037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4" w:type="dxa"/>
            <w:gridSpan w:val="8"/>
          </w:tcPr>
          <w:p w:rsidR="00FF6F2E" w:rsidRPr="00F4667D" w:rsidRDefault="00FF6F2E" w:rsidP="0037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Pretendenti II posms</w:t>
            </w:r>
          </w:p>
        </w:tc>
      </w:tr>
      <w:tr w:rsidR="00FF6F2E" w:rsidRPr="00380196" w:rsidTr="0037156E">
        <w:trPr>
          <w:jc w:val="center"/>
        </w:trPr>
        <w:tc>
          <w:tcPr>
            <w:tcW w:w="1590" w:type="dxa"/>
            <w:vMerge/>
          </w:tcPr>
          <w:p w:rsidR="00FF6F2E" w:rsidRPr="00F4667D" w:rsidRDefault="00FF6F2E" w:rsidP="0037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F6F2E" w:rsidRPr="00F4667D" w:rsidRDefault="00FF6F2E" w:rsidP="0037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Ruu</w:t>
            </w:r>
            <w:proofErr w:type="spellEnd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Kivi" OU</w:t>
            </w:r>
          </w:p>
        </w:tc>
        <w:tc>
          <w:tcPr>
            <w:tcW w:w="1701" w:type="dxa"/>
          </w:tcPr>
          <w:p w:rsidR="00FF6F2E" w:rsidRPr="00F4667D" w:rsidRDefault="00FF6F2E" w:rsidP="0037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SIA ražošanas komercfirma "M2"</w:t>
            </w:r>
          </w:p>
        </w:tc>
        <w:tc>
          <w:tcPr>
            <w:tcW w:w="1701" w:type="dxa"/>
          </w:tcPr>
          <w:p w:rsidR="00FF6F2E" w:rsidRPr="00F4667D" w:rsidRDefault="00FF6F2E" w:rsidP="0037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SIA "Garkalnes grants"</w:t>
            </w:r>
          </w:p>
        </w:tc>
        <w:tc>
          <w:tcPr>
            <w:tcW w:w="1560" w:type="dxa"/>
          </w:tcPr>
          <w:p w:rsidR="00FF6F2E" w:rsidRPr="00F4667D" w:rsidRDefault="00FF6F2E" w:rsidP="0037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SIA "</w:t>
            </w:r>
            <w:proofErr w:type="spellStart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Yeoman</w:t>
            </w:r>
            <w:proofErr w:type="spellEnd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Latvia"</w:t>
            </w:r>
          </w:p>
        </w:tc>
        <w:tc>
          <w:tcPr>
            <w:tcW w:w="1733" w:type="dxa"/>
          </w:tcPr>
          <w:p w:rsidR="00FF6F2E" w:rsidRPr="00F4667D" w:rsidRDefault="00FF6F2E" w:rsidP="0037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piegādātāju apvienība SIA "</w:t>
            </w:r>
            <w:proofErr w:type="spellStart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Nordic</w:t>
            </w:r>
            <w:proofErr w:type="spellEnd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Granit</w:t>
            </w:r>
            <w:proofErr w:type="spellEnd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", un OȔ "</w:t>
            </w:r>
            <w:proofErr w:type="spellStart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Graniidikeskus</w:t>
            </w:r>
            <w:proofErr w:type="spellEnd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527" w:type="dxa"/>
          </w:tcPr>
          <w:p w:rsidR="00FF6F2E" w:rsidRPr="00F4667D" w:rsidRDefault="00FF6F2E" w:rsidP="0037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SIA "EXTER"</w:t>
            </w:r>
          </w:p>
        </w:tc>
        <w:tc>
          <w:tcPr>
            <w:tcW w:w="1959" w:type="dxa"/>
          </w:tcPr>
          <w:p w:rsidR="00FF6F2E" w:rsidRPr="00F4667D" w:rsidRDefault="00FF6F2E" w:rsidP="0037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personu apvienība "</w:t>
            </w:r>
            <w:proofErr w:type="spellStart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Eko</w:t>
            </w:r>
            <w:proofErr w:type="spellEnd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MMS" , kas sastāv no SIA "Minerālmateriālu serviss" un SIA "ZS </w:t>
            </w:r>
            <w:proofErr w:type="spellStart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Ekorapsis</w:t>
            </w:r>
            <w:proofErr w:type="spellEnd"/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77" w:type="dxa"/>
          </w:tcPr>
          <w:p w:rsidR="00FF6F2E" w:rsidRPr="00F4667D" w:rsidRDefault="00FF6F2E" w:rsidP="0037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AB "DOLOMITAS"</w:t>
            </w:r>
          </w:p>
        </w:tc>
      </w:tr>
      <w:tr w:rsidR="00FF6F2E" w:rsidRPr="00380196" w:rsidTr="0037156E">
        <w:trPr>
          <w:jc w:val="center"/>
        </w:trPr>
        <w:tc>
          <w:tcPr>
            <w:tcW w:w="1590" w:type="dxa"/>
          </w:tcPr>
          <w:p w:rsidR="00FF6F2E" w:rsidRPr="00F4667D" w:rsidRDefault="00FF6F2E" w:rsidP="0037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Vienas vienības cena EUR bez PVN</w:t>
            </w:r>
          </w:p>
        </w:tc>
        <w:tc>
          <w:tcPr>
            <w:tcW w:w="1666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1701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1560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19,55</w:t>
            </w:r>
          </w:p>
        </w:tc>
        <w:tc>
          <w:tcPr>
            <w:tcW w:w="1733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527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17,17</w:t>
            </w:r>
          </w:p>
        </w:tc>
        <w:tc>
          <w:tcPr>
            <w:tcW w:w="1959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17,17</w:t>
            </w:r>
          </w:p>
        </w:tc>
        <w:tc>
          <w:tcPr>
            <w:tcW w:w="1977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</w:tr>
      <w:tr w:rsidR="00FF6F2E" w:rsidRPr="00380196" w:rsidTr="0037156E">
        <w:trPr>
          <w:jc w:val="center"/>
        </w:trPr>
        <w:tc>
          <w:tcPr>
            <w:tcW w:w="1590" w:type="dxa"/>
          </w:tcPr>
          <w:p w:rsidR="00FF6F2E" w:rsidRPr="00F4667D" w:rsidRDefault="00FF6F2E" w:rsidP="0037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D">
              <w:rPr>
                <w:rFonts w:ascii="Times New Roman" w:hAnsi="Times New Roman" w:cs="Times New Roman"/>
                <w:b/>
                <w:sz w:val="24"/>
                <w:szCs w:val="24"/>
              </w:rPr>
              <w:t>Summa kopā EUR bez PVN</w:t>
            </w:r>
          </w:p>
        </w:tc>
        <w:tc>
          <w:tcPr>
            <w:tcW w:w="1666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1 481 907,00</w:t>
            </w:r>
          </w:p>
        </w:tc>
        <w:tc>
          <w:tcPr>
            <w:tcW w:w="1701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1 478 575,00</w:t>
            </w:r>
          </w:p>
        </w:tc>
        <w:tc>
          <w:tcPr>
            <w:tcW w:w="1701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1 432 760,00</w:t>
            </w:r>
          </w:p>
        </w:tc>
        <w:tc>
          <w:tcPr>
            <w:tcW w:w="1560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1 628 515,00</w:t>
            </w:r>
          </w:p>
        </w:tc>
        <w:tc>
          <w:tcPr>
            <w:tcW w:w="1733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1 561 875,00</w:t>
            </w:r>
          </w:p>
        </w:tc>
        <w:tc>
          <w:tcPr>
            <w:tcW w:w="1527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1 430 261,00</w:t>
            </w:r>
          </w:p>
        </w:tc>
        <w:tc>
          <w:tcPr>
            <w:tcW w:w="1959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1 430 261,00</w:t>
            </w:r>
          </w:p>
        </w:tc>
        <w:tc>
          <w:tcPr>
            <w:tcW w:w="1977" w:type="dxa"/>
          </w:tcPr>
          <w:p w:rsidR="00FF6F2E" w:rsidRPr="00380196" w:rsidRDefault="00FF6F2E" w:rsidP="0037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1 564 374,00</w:t>
            </w:r>
          </w:p>
        </w:tc>
      </w:tr>
    </w:tbl>
    <w:p w:rsidR="00640B07" w:rsidRPr="009C1E10" w:rsidRDefault="00640B07" w:rsidP="00640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40B07" w:rsidRPr="009C1E10" w:rsidSect="001B593A">
      <w:pgSz w:w="16838" w:h="11906" w:orient="landscape"/>
      <w:pgMar w:top="1276" w:right="1440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02654"/>
    <w:multiLevelType w:val="hybridMultilevel"/>
    <w:tmpl w:val="2082A35E"/>
    <w:lvl w:ilvl="0" w:tplc="E6EA30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60"/>
    <w:rsid w:val="000342C7"/>
    <w:rsid w:val="0008608A"/>
    <w:rsid w:val="00130F6E"/>
    <w:rsid w:val="001B593A"/>
    <w:rsid w:val="001F19DE"/>
    <w:rsid w:val="002442FC"/>
    <w:rsid w:val="00416B80"/>
    <w:rsid w:val="00640B07"/>
    <w:rsid w:val="00657AC5"/>
    <w:rsid w:val="007B360D"/>
    <w:rsid w:val="00890F16"/>
    <w:rsid w:val="009C1E10"/>
    <w:rsid w:val="00A0167D"/>
    <w:rsid w:val="00AF6796"/>
    <w:rsid w:val="00AF7D37"/>
    <w:rsid w:val="00C075F9"/>
    <w:rsid w:val="00C55AAF"/>
    <w:rsid w:val="00D12147"/>
    <w:rsid w:val="00D340F2"/>
    <w:rsid w:val="00D62BAA"/>
    <w:rsid w:val="00E16923"/>
    <w:rsid w:val="00E75560"/>
    <w:rsid w:val="00E9390D"/>
    <w:rsid w:val="00F2799F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A82F4-7A6F-4C18-8D03-B232F5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C07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075F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3C58-2F6B-4BFF-8A26-96F91C75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3766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Iveta Dementjeva</cp:lastModifiedBy>
  <cp:revision>5</cp:revision>
  <cp:lastPrinted>2017-05-11T10:31:00Z</cp:lastPrinted>
  <dcterms:created xsi:type="dcterms:W3CDTF">2017-04-27T13:40:00Z</dcterms:created>
  <dcterms:modified xsi:type="dcterms:W3CDTF">2017-05-11T11:58:00Z</dcterms:modified>
</cp:coreProperties>
</file>