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60" w:rsidRPr="00F2799F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C1E10">
        <w:rPr>
          <w:rFonts w:ascii="Times New Roman" w:hAnsi="Times New Roman" w:cs="Times New Roman"/>
          <w:b/>
          <w:bCs/>
          <w:sz w:val="24"/>
          <w:szCs w:val="24"/>
        </w:rPr>
        <w:t xml:space="preserve">Sarunu procedūra, publicējot dalības </w:t>
      </w:r>
      <w:r w:rsidRPr="00F2799F">
        <w:rPr>
          <w:rFonts w:ascii="Times New Roman" w:hAnsi="Times New Roman" w:cs="Times New Roman"/>
          <w:b/>
          <w:bCs/>
          <w:sz w:val="24"/>
          <w:szCs w:val="24"/>
        </w:rPr>
        <w:t>uzaicinājumu, “Dzelzceļa pārmiju pārvedu p</w:t>
      </w:r>
      <w:r w:rsidRPr="00F2799F">
        <w:rPr>
          <w:rFonts w:ascii="Times New Roman" w:hAnsi="Times New Roman" w:cs="Times New Roman"/>
          <w:b/>
          <w:sz w:val="24"/>
          <w:szCs w:val="24"/>
        </w:rPr>
        <w:t xml:space="preserve">iegāde” </w:t>
      </w:r>
      <w:r w:rsidRPr="00F2799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iepirkuma procedūras ziņojums </w:t>
      </w:r>
    </w:p>
    <w:p w:rsidR="00E75560" w:rsidRPr="009C1E10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</w:t>
      </w:r>
      <w:bookmarkStart w:id="0" w:name="_GoBack"/>
      <w:bookmarkEnd w:id="0"/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metu konkursu norises kārtība” 98.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3"/>
        <w:gridCol w:w="3819"/>
        <w:gridCol w:w="5234"/>
      </w:tblGrid>
      <w:tr w:rsidR="00E75560" w:rsidRPr="009C1E10" w:rsidTr="009C1E10">
        <w:tc>
          <w:tcPr>
            <w:tcW w:w="723" w:type="dxa"/>
          </w:tcPr>
          <w:p w:rsidR="00E75560" w:rsidRPr="009C1E10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819" w:type="dxa"/>
          </w:tcPr>
          <w:p w:rsidR="00E75560" w:rsidRPr="009C1E10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iekļauj</w:t>
            </w:r>
            <w:r w:rsidRPr="009C1E1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amās ziņas</w:t>
            </w:r>
          </w:p>
        </w:tc>
        <w:tc>
          <w:tcPr>
            <w:tcW w:w="5234" w:type="dxa"/>
          </w:tcPr>
          <w:p w:rsidR="00E75560" w:rsidRPr="009C1E10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E75560" w:rsidRPr="009C1E10" w:rsidTr="009C1E10">
        <w:tc>
          <w:tcPr>
            <w:tcW w:w="723" w:type="dxa"/>
          </w:tcPr>
          <w:p w:rsidR="00E7556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19" w:type="dxa"/>
          </w:tcPr>
          <w:p w:rsidR="00E75560" w:rsidRPr="009C1E10" w:rsidRDefault="009C1E10" w:rsidP="007B360D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sabiedrisko pakalpojumu sniedzēja nosaukums un adrese, iepirkuma identifikācijas numurs, iepirkuma procedūras veids un tās izvēles pamatojums, kā arī iepirkuma līguma vai v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ispārīgās vienošanās priekšmets</w:t>
            </w:r>
          </w:p>
        </w:tc>
        <w:tc>
          <w:tcPr>
            <w:tcW w:w="5234" w:type="dxa"/>
          </w:tcPr>
          <w:p w:rsidR="007B360D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80">
              <w:rPr>
                <w:rFonts w:ascii="Times New Roman" w:hAnsi="Times New Roman" w:cs="Times New Roman"/>
                <w:sz w:val="24"/>
                <w:szCs w:val="24"/>
              </w:rPr>
              <w:t xml:space="preserve">Valsts akciju sabiedrība "Latvijas dzelzceļš", </w:t>
            </w:r>
            <w:r w:rsidR="007B360D">
              <w:rPr>
                <w:rFonts w:ascii="Times New Roman" w:hAnsi="Times New Roman" w:cs="Times New Roman"/>
                <w:sz w:val="24"/>
                <w:szCs w:val="24"/>
              </w:rPr>
              <w:t xml:space="preserve">Latvija, Rīga, Gogoļa iela 3; </w:t>
            </w:r>
          </w:p>
          <w:p w:rsidR="009C1E10" w:rsidRPr="00416B80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80">
              <w:rPr>
                <w:rFonts w:ascii="Times New Roman" w:hAnsi="Times New Roman" w:cs="Times New Roman"/>
                <w:sz w:val="24"/>
                <w:szCs w:val="24"/>
              </w:rPr>
              <w:t>LDZ IB 2017/3-IB</w:t>
            </w:r>
            <w:r w:rsidR="007B3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E10" w:rsidRPr="00416B80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80">
              <w:rPr>
                <w:rFonts w:ascii="Times New Roman" w:hAnsi="Times New Roman" w:cs="Times New Roman"/>
                <w:bCs/>
                <w:sz w:val="24"/>
                <w:szCs w:val="24"/>
              </w:rPr>
              <w:t>Sarunu procedūra, publicējot dalības uzaicinājumu</w:t>
            </w:r>
            <w:r w:rsidR="007B360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416B80" w:rsidRPr="00416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Šāds procedūras veids</w:t>
            </w:r>
            <w:r w:rsidR="00D3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tika</w:t>
            </w:r>
            <w:r w:rsidR="00416B80" w:rsidRPr="00416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izvēlēts, izpildot </w:t>
            </w:r>
            <w:r w:rsidR="00416B80" w:rsidRPr="00416B80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likuma prasības</w:t>
            </w:r>
            <w:r w:rsidR="007B3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B80" w:rsidRPr="00416B80" w:rsidRDefault="00416B80" w:rsidP="00D3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Sarunu procedūras priekšmets 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</w:t>
            </w:r>
            <w:r w:rsidRPr="00416B80">
              <w:rPr>
                <w:rFonts w:ascii="Times New Roman" w:hAnsi="Times New Roman" w:cs="Times New Roman"/>
                <w:bCs/>
                <w:sz w:val="24"/>
                <w:szCs w:val="24"/>
              </w:rPr>
              <w:t>zelzceļa pārmiju pārvedu p</w:t>
            </w:r>
            <w:r w:rsidRPr="00416B80">
              <w:rPr>
                <w:rFonts w:ascii="Times New Roman" w:hAnsi="Times New Roman" w:cs="Times New Roman"/>
                <w:sz w:val="24"/>
                <w:szCs w:val="24"/>
              </w:rPr>
              <w:t xml:space="preserve">iegāde 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Tehniskās specifikācijas noteikumiem un Preces piegādes grafiku.</w:t>
            </w:r>
          </w:p>
        </w:tc>
      </w:tr>
      <w:tr w:rsidR="00E75560" w:rsidRPr="009C1E10" w:rsidTr="009C1E10">
        <w:tc>
          <w:tcPr>
            <w:tcW w:w="723" w:type="dxa"/>
          </w:tcPr>
          <w:p w:rsidR="00E7556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E75560" w:rsidRPr="009C1E10" w:rsidRDefault="009C1E10" w:rsidP="00416B8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datums, kad paziņojums par līgumu un periodiskais informatīvais paziņojums, ja tāds ir izmantots, publicēts Eiropas Savienības Oficiālajā Vēstnesī, un Iepirkumu uzraudzī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bas biroja tīmekļvietnē</w:t>
            </w:r>
          </w:p>
        </w:tc>
        <w:tc>
          <w:tcPr>
            <w:tcW w:w="5234" w:type="dxa"/>
          </w:tcPr>
          <w:p w:rsidR="00416B80" w:rsidRPr="00416B80" w:rsidRDefault="00416B80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- 28.01.17., 02.02.17.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E75560" w:rsidRPr="00416B80" w:rsidRDefault="00416B80" w:rsidP="00F2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biroja tīmekļvietnē – 30.01.17., 09.02.17.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iepirkuma komisijas sastāvs un tās izveidošanas pamatojums, iepirkuma procedūras dokumentu sagatavotāji un pieaicinātie eksperti;</w:t>
            </w:r>
          </w:p>
        </w:tc>
        <w:tc>
          <w:tcPr>
            <w:tcW w:w="5234" w:type="dxa"/>
          </w:tcPr>
          <w:p w:rsidR="00E16923" w:rsidRPr="00E16923" w:rsidRDefault="00E16923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komisijas sastāvs un tās izve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idošanas pamatojums tika noteikts ar</w:t>
            </w:r>
            <w:r w:rsidR="00D340F2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>Sabiedrisko pakalp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ojumu sniedzēju iepirkumu likumu,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iekšējie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m normatīvajiem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akti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em,</w:t>
            </w:r>
            <w:r w:rsidR="00D340F2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:rsidR="009C1E10" w:rsidRPr="00E16923" w:rsidRDefault="00416B80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Sastāvs: uzņēmuma viceprezidents, Tehniskās vadības direkcijas, Finanšu direkcijas, Juridisko un  administratīvo lietu direkcijas, 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Iepirkumu biroja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darbinieki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0D" w:rsidRPr="00E16923" w:rsidRDefault="00F2799F" w:rsidP="00640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sagatavotāji: Iepirkumu biroja darbinieki sadarbībā ar Tehniskās vadības direkcijas </w:t>
            </w: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pārstāvjiem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7B360D" w:rsidRPr="009C1E10" w:rsidRDefault="007B360D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Pieaicinātie eksperti: nav.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pieteikumu un sākotnējo p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iedāvājumu iesniegšanas termiņš</w:t>
            </w:r>
          </w:p>
        </w:tc>
        <w:tc>
          <w:tcPr>
            <w:tcW w:w="5234" w:type="dxa"/>
          </w:tcPr>
          <w:p w:rsidR="00D340F2" w:rsidRDefault="00D340F2" w:rsidP="00D3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Pieteikumi: 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02.03.2017. plkst. 10.00; </w:t>
            </w:r>
          </w:p>
          <w:p w:rsidR="009C1E10" w:rsidRPr="00D340F2" w:rsidRDefault="00D340F2" w:rsidP="00D340F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Piedāvājums: 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>17.03.2017. plkst.10.00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9" w:type="dxa"/>
          </w:tcPr>
          <w:p w:rsidR="009C1E10" w:rsidRPr="009C1E10" w:rsidRDefault="009C1E10" w:rsidP="00640B07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to piegādātāju nosaukumi, kuri pieteikušies uz kandidātu atlasi, un to pretendentu nosaukumi, kuri ir iesnieguši piedāvājumus, kā ar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ī piedāvātās cenas vai izmaksas</w:t>
            </w:r>
          </w:p>
        </w:tc>
        <w:tc>
          <w:tcPr>
            <w:tcW w:w="5234" w:type="dxa"/>
          </w:tcPr>
          <w:p w:rsidR="009C1E10" w:rsidRPr="00640B07" w:rsidRDefault="00F2799F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08608A"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 piegādātāju nosaukumi, kuri 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bija </w:t>
            </w:r>
            <w:r w:rsidR="0008608A"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08608A" w:rsidRPr="00640B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ieteikušies uz kandidātu atlasi - </w:t>
            </w:r>
            <w:r w:rsidR="0008608A"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8608A" w:rsidRPr="00640B07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="0008608A" w:rsidRPr="00640B07">
              <w:rPr>
                <w:rFonts w:ascii="Times New Roman" w:hAnsi="Times New Roman" w:cs="Times New Roman"/>
                <w:sz w:val="24"/>
                <w:szCs w:val="24"/>
              </w:rPr>
              <w:t>voestalpine</w:t>
            </w:r>
            <w:proofErr w:type="spellEnd"/>
            <w:r w:rsidR="0008608A" w:rsidRPr="00640B07">
              <w:rPr>
                <w:rFonts w:ascii="Times New Roman" w:hAnsi="Times New Roman" w:cs="Times New Roman"/>
                <w:sz w:val="24"/>
                <w:szCs w:val="24"/>
              </w:rPr>
              <w:t xml:space="preserve"> VAE Rīga”;</w:t>
            </w:r>
          </w:p>
          <w:p w:rsidR="0008608A" w:rsidRPr="00640B07" w:rsidRDefault="00F2799F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08608A"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 pretendentu nosaukumi, kuri ir iesnieguši piedāvājumus</w:t>
            </w:r>
            <w:r w:rsidR="0008608A" w:rsidRPr="00640B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08608A"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8608A" w:rsidRPr="00640B07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="0008608A" w:rsidRPr="00640B07">
              <w:rPr>
                <w:rFonts w:ascii="Times New Roman" w:hAnsi="Times New Roman" w:cs="Times New Roman"/>
                <w:sz w:val="24"/>
                <w:szCs w:val="24"/>
              </w:rPr>
              <w:t>voestalpine</w:t>
            </w:r>
            <w:proofErr w:type="spellEnd"/>
            <w:r w:rsidR="0008608A" w:rsidRPr="00640B07">
              <w:rPr>
                <w:rFonts w:ascii="Times New Roman" w:hAnsi="Times New Roman" w:cs="Times New Roman"/>
                <w:sz w:val="24"/>
                <w:szCs w:val="24"/>
              </w:rPr>
              <w:t xml:space="preserve"> VAE Rīga”;</w:t>
            </w:r>
          </w:p>
          <w:p w:rsidR="0008608A" w:rsidRPr="009C1E10" w:rsidRDefault="0008608A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Piedāvātās cenas skatīt šī ziņojuma pielikumā</w:t>
            </w:r>
            <w:r w:rsidR="00F2799F">
              <w:rPr>
                <w:rFonts w:ascii="Times New Roman" w:hAnsi="Times New Roman" w:cs="Times New Roman"/>
                <w:sz w:val="24"/>
                <w:szCs w:val="24"/>
              </w:rPr>
              <w:t xml:space="preserve"> tekstā zemāk</w:t>
            </w: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kandidātu skaita samazināšanas gadījumā norāda izraudzīto kandidātu nosaukumus un to izraudzīšanās iemeslus, noraidīto kandidātu nosauku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5234" w:type="dxa"/>
          </w:tcPr>
          <w:p w:rsidR="009C1E10" w:rsidRPr="00F2799F" w:rsidRDefault="00E16923" w:rsidP="00E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piedāvājumu skaita samazināšanas gadījumā norāda izraudzīto pretendentu nosaukumus un to izraudzīšanās iemeslus, noraidīto pretendentu nosauku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5234" w:type="dxa"/>
          </w:tcPr>
          <w:p w:rsidR="009C1E10" w:rsidRPr="00F2799F" w:rsidRDefault="00E16923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19" w:type="dxa"/>
          </w:tcPr>
          <w:p w:rsidR="009C1E10" w:rsidRPr="009C1E10" w:rsidRDefault="009C1E10" w:rsidP="00F279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pieteikumu un piedāvājumu at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vēršanas vieta, datums un laiks</w:t>
            </w:r>
          </w:p>
        </w:tc>
        <w:tc>
          <w:tcPr>
            <w:tcW w:w="5234" w:type="dxa"/>
          </w:tcPr>
          <w:p w:rsidR="00C55AAF" w:rsidRDefault="00D340F2" w:rsidP="00C5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Pieteikumi: </w:t>
            </w:r>
            <w:r w:rsidR="00C55AAF"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02.03.2017. plkst. 10.00; </w:t>
            </w:r>
          </w:p>
          <w:p w:rsidR="009C1E10" w:rsidRPr="00F2799F" w:rsidRDefault="00C55AAF" w:rsidP="00C5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Piedāvājums: 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>17.03.2017. plkst.10.00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sarunu posmi un to rezultāti</w:t>
            </w:r>
          </w:p>
        </w:tc>
        <w:tc>
          <w:tcPr>
            <w:tcW w:w="5234" w:type="dxa"/>
          </w:tcPr>
          <w:p w:rsidR="009C1E10" w:rsidRPr="00F2799F" w:rsidRDefault="00C55AA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Sarunas netika veiktas.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</w:t>
            </w:r>
          </w:p>
        </w:tc>
        <w:tc>
          <w:tcPr>
            <w:tcW w:w="5234" w:type="dxa"/>
          </w:tcPr>
          <w:p w:rsidR="00F2799F" w:rsidRPr="00F2799F" w:rsidRDefault="00640B07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F2799F">
              <w:rPr>
                <w:rFonts w:ascii="Times New Roman" w:hAnsi="Times New Roman" w:cs="Times New Roman"/>
                <w:sz w:val="24"/>
                <w:szCs w:val="24"/>
              </w:rPr>
              <w:t>voestalpine</w:t>
            </w:r>
            <w:proofErr w:type="spellEnd"/>
            <w:r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 VAE Rīga”, </w:t>
            </w:r>
            <w:r w:rsidR="00F2799F"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piedāvātā līgumcena</w:t>
            </w:r>
            <w:r w:rsidR="00F2799F" w:rsidRPr="00F27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="00F2799F"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>13371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70.00 EUR;</w:t>
            </w:r>
          </w:p>
          <w:p w:rsidR="009C1E10" w:rsidRPr="00F2799F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</w:t>
            </w: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izvērtēšanas kopsavilkums</w:t>
            </w:r>
            <w:r w:rsidRPr="00F27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40B07" w:rsidRPr="00F2799F">
              <w:rPr>
                <w:rFonts w:ascii="Times New Roman" w:hAnsi="Times New Roman" w:cs="Times New Roman"/>
                <w:sz w:val="24"/>
                <w:szCs w:val="24"/>
              </w:rPr>
              <w:t>skatīt ziņojuma pielikumu Nr.1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AAF" w:rsidRPr="00F2799F" w:rsidRDefault="00F2799F" w:rsidP="00D3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amatojums piedāvājuma izvēlei</w:t>
            </w:r>
            <w:r w:rsidRPr="00F27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640B07"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einteresētie piegādātāji bija vairāki, taču vienīgais kandidāts/ pretendents, kas 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pieteicā</w:t>
            </w:r>
            <w:r w:rsidR="00640B07" w:rsidRPr="00F2799F">
              <w:rPr>
                <w:rFonts w:ascii="Times New Roman" w:hAnsi="Times New Roman" w:cs="Times New Roman"/>
                <w:sz w:val="24"/>
                <w:szCs w:val="24"/>
              </w:rPr>
              <w:t>s publiski izsludinātajā iepirkuma procedūrā ir SIA “</w:t>
            </w:r>
            <w:proofErr w:type="spellStart"/>
            <w:r w:rsidR="00640B07" w:rsidRPr="00F2799F">
              <w:rPr>
                <w:rFonts w:ascii="Times New Roman" w:hAnsi="Times New Roman" w:cs="Times New Roman"/>
                <w:sz w:val="24"/>
                <w:szCs w:val="24"/>
              </w:rPr>
              <w:t>voestalpine</w:t>
            </w:r>
            <w:proofErr w:type="spellEnd"/>
            <w:r w:rsidR="00640B07"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 VAE Rīga”.</w:t>
            </w:r>
            <w:r w:rsidR="00E16923">
              <w:rPr>
                <w:rFonts w:ascii="Times New Roman" w:hAnsi="Times New Roman" w:cs="Times New Roman"/>
                <w:sz w:val="24"/>
                <w:szCs w:val="24"/>
              </w:rPr>
              <w:t xml:space="preserve"> Nekādi jautājumi vai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 pretenzijas par sarunu procedūras nolikuma noteikumiem no citiem ieinteresētajiem piegādātājiem 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netika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 saņemtas. </w:t>
            </w:r>
            <w:r w:rsidR="00640B07"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piedāvātās cenas pasūtītājam 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bija</w:t>
            </w:r>
            <w:r w:rsidR="00640B07"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 pieņemamas un izdevīgas, līdz ar to 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tika</w:t>
            </w:r>
            <w:r w:rsidR="00640B07"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 pieņemts lēmums par līguma slēgšanas tiesību piešķiršanu.</w:t>
            </w:r>
            <w:r w:rsidR="00E16923">
              <w:rPr>
                <w:rFonts w:ascii="Times New Roman" w:hAnsi="Times New Roman" w:cs="Times New Roman"/>
                <w:sz w:val="24"/>
                <w:szCs w:val="24"/>
              </w:rPr>
              <w:t xml:space="preserve"> Jāpiebilst, ka pēdējo gadu laikā publiskajās iepirkuma procedūrās ar šādu iepirkuma priekšmetu </w:t>
            </w:r>
            <w:r w:rsidR="00E16923" w:rsidRPr="00F2799F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="00E16923" w:rsidRPr="00F2799F">
              <w:rPr>
                <w:rFonts w:ascii="Times New Roman" w:hAnsi="Times New Roman" w:cs="Times New Roman"/>
                <w:sz w:val="24"/>
                <w:szCs w:val="24"/>
              </w:rPr>
              <w:t>voestalpine</w:t>
            </w:r>
            <w:proofErr w:type="spellEnd"/>
            <w:r w:rsidR="00E16923"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 VAE Rīga”</w:t>
            </w:r>
            <w:r w:rsidR="00E16923">
              <w:rPr>
                <w:rFonts w:ascii="Times New Roman" w:hAnsi="Times New Roman" w:cs="Times New Roman"/>
                <w:sz w:val="24"/>
                <w:szCs w:val="24"/>
              </w:rPr>
              <w:t xml:space="preserve"> ir bijis vienīgais pretendents.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informācija, ja tā ir zināma, par to iepirkuma līguma vai vispārīgās vienošanās daļu, kuru izraudzītais piegādātājs plānojis nodot apakšuzņēmējiem,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kā arī apakšuzņēmēju nosaukumi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pamatojums lēmumam par katru noraidīto kandidātu un pretendentu, kā arī par katru iepirkuma procedūras dokumentiem neatbil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stošu pieteikumu un piedāvājumu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lēmuma pamatojums, ja iepirkuma komisija pieņēmusi lēmumu pārtraukt 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 izbeigt iepirkuma procedūru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piedāvājuma noraidīšanas pamatojums, ja iepirkuma komisija atzinusi 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piedāvājumu par nepamatoti lētu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iemesli, kuru dēļ netiek paredzēta elektroniska pieteikumu un piedāvājumu iesniegšana, ja sabiedrisko pakalpojumu sniedzējam ir pienākums pieteikumu un piedāvājumu saņemšanai izmantot elek</w:t>
            </w: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troniskās informācijas sistēmas</w:t>
            </w:r>
          </w:p>
        </w:tc>
        <w:tc>
          <w:tcPr>
            <w:tcW w:w="5234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pienākums.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konstatētie interešu konflikti un pasākumi, kas veikti to novēršanai</w:t>
            </w:r>
          </w:p>
        </w:tc>
        <w:tc>
          <w:tcPr>
            <w:tcW w:w="5234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9C1E10" w:rsidRDefault="009C1E10" w:rsidP="009C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923" w:rsidRDefault="00E16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608A" w:rsidRPr="00F2799F" w:rsidRDefault="0008608A" w:rsidP="009C1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08A" w:rsidRPr="00F2799F" w:rsidRDefault="0008608A" w:rsidP="00E16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9F">
        <w:rPr>
          <w:rFonts w:ascii="Times New Roman" w:hAnsi="Times New Roman" w:cs="Times New Roman"/>
          <w:b/>
          <w:sz w:val="24"/>
          <w:szCs w:val="24"/>
        </w:rPr>
        <w:t xml:space="preserve">Pielikums Nr.1 </w:t>
      </w:r>
      <w:r w:rsidR="00640B07" w:rsidRPr="00F2799F">
        <w:rPr>
          <w:rFonts w:ascii="Times New Roman" w:hAnsi="Times New Roman" w:cs="Times New Roman"/>
          <w:b/>
          <w:sz w:val="24"/>
          <w:szCs w:val="24"/>
        </w:rPr>
        <w:t>p</w:t>
      </w:r>
      <w:r w:rsidRPr="00F2799F">
        <w:rPr>
          <w:rFonts w:ascii="Times New Roman" w:hAnsi="Times New Roman" w:cs="Times New Roman"/>
          <w:b/>
          <w:sz w:val="24"/>
          <w:szCs w:val="24"/>
        </w:rPr>
        <w:t>ie iepirkuma ziņojuma</w:t>
      </w:r>
      <w:r w:rsidR="00640B07" w:rsidRPr="00F2799F">
        <w:rPr>
          <w:rFonts w:ascii="Times New Roman" w:hAnsi="Times New Roman" w:cs="Times New Roman"/>
          <w:b/>
          <w:sz w:val="24"/>
          <w:szCs w:val="24"/>
        </w:rPr>
        <w:t xml:space="preserve"> (5.</w:t>
      </w:r>
      <w:r w:rsidR="003C060D">
        <w:rPr>
          <w:rFonts w:ascii="Times New Roman" w:hAnsi="Times New Roman" w:cs="Times New Roman"/>
          <w:b/>
          <w:sz w:val="24"/>
          <w:szCs w:val="24"/>
        </w:rPr>
        <w:t>,10.</w:t>
      </w:r>
      <w:r w:rsidR="00640B07" w:rsidRPr="00F2799F">
        <w:rPr>
          <w:rFonts w:ascii="Times New Roman" w:hAnsi="Times New Roman" w:cs="Times New Roman"/>
          <w:b/>
          <w:sz w:val="24"/>
          <w:szCs w:val="24"/>
        </w:rPr>
        <w:t>punkts):</w:t>
      </w:r>
    </w:p>
    <w:tbl>
      <w:tblPr>
        <w:tblpPr w:leftFromText="180" w:rightFromText="180" w:vertAnchor="text" w:horzAnchor="margin" w:tblpY="9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798"/>
        <w:gridCol w:w="903"/>
        <w:gridCol w:w="2194"/>
        <w:gridCol w:w="2058"/>
      </w:tblGrid>
      <w:tr w:rsidR="00640B07" w:rsidRPr="00640B07" w:rsidTr="00B5398A">
        <w:trPr>
          <w:tblHeader/>
        </w:trPr>
        <w:tc>
          <w:tcPr>
            <w:tcW w:w="53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</w:t>
            </w:r>
            <w:proofErr w:type="spellEnd"/>
          </w:p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ļas</w:t>
            </w:r>
            <w:proofErr w:type="spellEnd"/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Nr.</w:t>
            </w:r>
          </w:p>
        </w:tc>
        <w:tc>
          <w:tcPr>
            <w:tcW w:w="3260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Nosaukums</w:t>
            </w:r>
          </w:p>
        </w:tc>
        <w:tc>
          <w:tcPr>
            <w:tcW w:w="79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Mērvienība</w:t>
            </w:r>
          </w:p>
        </w:tc>
        <w:tc>
          <w:tcPr>
            <w:tcW w:w="903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Dau</w:t>
            </w:r>
            <w:proofErr w:type="spellEnd"/>
          </w:p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dzums</w:t>
            </w:r>
            <w:proofErr w:type="spellEnd"/>
          </w:p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Vienības cena EUR </w:t>
            </w:r>
          </w:p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i/>
                <w:sz w:val="20"/>
                <w:szCs w:val="20"/>
              </w:rPr>
              <w:t>(bez PVN)</w:t>
            </w:r>
          </w:p>
        </w:tc>
        <w:tc>
          <w:tcPr>
            <w:tcW w:w="205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Summa EUR</w:t>
            </w:r>
          </w:p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i/>
                <w:sz w:val="20"/>
                <w:szCs w:val="20"/>
              </w:rPr>
              <w:t>(bez PVN)</w:t>
            </w:r>
          </w:p>
        </w:tc>
      </w:tr>
      <w:tr w:rsidR="00640B07" w:rsidRPr="00640B07" w:rsidTr="00B5398A">
        <w:trPr>
          <w:tblHeader/>
        </w:trPr>
        <w:tc>
          <w:tcPr>
            <w:tcW w:w="53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640B07" w:rsidRPr="00640B07" w:rsidRDefault="00640B07" w:rsidP="00640B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Vienkāršā pārmija 60E1- 300- 1:11</w:t>
            </w:r>
          </w:p>
        </w:tc>
        <w:tc>
          <w:tcPr>
            <w:tcW w:w="79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gab.</w:t>
            </w:r>
          </w:p>
        </w:tc>
        <w:tc>
          <w:tcPr>
            <w:tcW w:w="903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54530.00</w:t>
            </w:r>
          </w:p>
        </w:tc>
        <w:tc>
          <w:tcPr>
            <w:tcW w:w="205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490770.00</w:t>
            </w:r>
          </w:p>
        </w:tc>
      </w:tr>
      <w:tr w:rsidR="00640B07" w:rsidRPr="00640B07" w:rsidTr="00B5398A">
        <w:trPr>
          <w:tblHeader/>
        </w:trPr>
        <w:tc>
          <w:tcPr>
            <w:tcW w:w="53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640B07" w:rsidRPr="00640B07" w:rsidRDefault="00640B07" w:rsidP="00640B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Vienkāršā pārmija 60E1- 212- 1:9</w:t>
            </w:r>
          </w:p>
        </w:tc>
        <w:tc>
          <w:tcPr>
            <w:tcW w:w="79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gab.</w:t>
            </w:r>
          </w:p>
        </w:tc>
        <w:tc>
          <w:tcPr>
            <w:tcW w:w="903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48180.00</w:t>
            </w:r>
          </w:p>
        </w:tc>
        <w:tc>
          <w:tcPr>
            <w:tcW w:w="205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433620.00</w:t>
            </w:r>
          </w:p>
        </w:tc>
      </w:tr>
      <w:tr w:rsidR="00640B07" w:rsidRPr="00640B07" w:rsidTr="00B5398A">
        <w:trPr>
          <w:tblHeader/>
        </w:trPr>
        <w:tc>
          <w:tcPr>
            <w:tcW w:w="53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640B07" w:rsidRPr="00640B07" w:rsidRDefault="00640B07" w:rsidP="00640B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Vienkāršā līklīnijas pārmija 60E1- 465- 1/11</w:t>
            </w:r>
          </w:p>
        </w:tc>
        <w:tc>
          <w:tcPr>
            <w:tcW w:w="79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gab.</w:t>
            </w:r>
          </w:p>
        </w:tc>
        <w:tc>
          <w:tcPr>
            <w:tcW w:w="903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80110.00</w:t>
            </w:r>
          </w:p>
        </w:tc>
        <w:tc>
          <w:tcPr>
            <w:tcW w:w="205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80110.00</w:t>
            </w:r>
          </w:p>
        </w:tc>
      </w:tr>
      <w:tr w:rsidR="00640B07" w:rsidRPr="00640B07" w:rsidTr="00B5398A">
        <w:trPr>
          <w:tblHeader/>
        </w:trPr>
        <w:tc>
          <w:tcPr>
            <w:tcW w:w="53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640B07" w:rsidRPr="00640B07" w:rsidRDefault="00640B07" w:rsidP="00640B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Dubultā krusteniskā pārmija 60E1- 212- 1/9</w:t>
            </w:r>
          </w:p>
        </w:tc>
        <w:tc>
          <w:tcPr>
            <w:tcW w:w="79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gab.</w:t>
            </w:r>
          </w:p>
        </w:tc>
        <w:tc>
          <w:tcPr>
            <w:tcW w:w="903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110890.00</w:t>
            </w:r>
          </w:p>
        </w:tc>
        <w:tc>
          <w:tcPr>
            <w:tcW w:w="205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332670.00</w:t>
            </w:r>
          </w:p>
        </w:tc>
      </w:tr>
      <w:tr w:rsidR="00640B07" w:rsidRPr="00640B07" w:rsidTr="00B5398A">
        <w:trPr>
          <w:tblHeader/>
        </w:trPr>
        <w:tc>
          <w:tcPr>
            <w:tcW w:w="534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640B07" w:rsidRPr="00640B07" w:rsidRDefault="00640B07" w:rsidP="00640B07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KOPĀ:</w:t>
            </w:r>
          </w:p>
        </w:tc>
        <w:tc>
          <w:tcPr>
            <w:tcW w:w="2058" w:type="dxa"/>
            <w:vAlign w:val="center"/>
          </w:tcPr>
          <w:p w:rsidR="00640B07" w:rsidRPr="00640B07" w:rsidRDefault="00640B07" w:rsidP="0064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B07">
              <w:rPr>
                <w:rFonts w:ascii="Times New Roman" w:hAnsi="Times New Roman" w:cs="Times New Roman"/>
                <w:sz w:val="20"/>
                <w:szCs w:val="20"/>
              </w:rPr>
              <w:t>1337170.00</w:t>
            </w:r>
          </w:p>
        </w:tc>
      </w:tr>
    </w:tbl>
    <w:p w:rsidR="00640B07" w:rsidRPr="009C1E10" w:rsidRDefault="00640B07" w:rsidP="00640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0B07" w:rsidRPr="009C1E10" w:rsidSect="00F2799F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342C7"/>
    <w:rsid w:val="0008608A"/>
    <w:rsid w:val="003C060D"/>
    <w:rsid w:val="00416B80"/>
    <w:rsid w:val="00640B07"/>
    <w:rsid w:val="007B360D"/>
    <w:rsid w:val="009C1E10"/>
    <w:rsid w:val="00AF7D37"/>
    <w:rsid w:val="00C55AAF"/>
    <w:rsid w:val="00D340F2"/>
    <w:rsid w:val="00E16923"/>
    <w:rsid w:val="00E75560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39DF-9A3D-4217-BB30-391658B6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3459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Liene Popova</cp:lastModifiedBy>
  <cp:revision>6</cp:revision>
  <dcterms:created xsi:type="dcterms:W3CDTF">2017-04-11T05:43:00Z</dcterms:created>
  <dcterms:modified xsi:type="dcterms:W3CDTF">2017-04-11T13:49:00Z</dcterms:modified>
</cp:coreProperties>
</file>