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77777777" w:rsidR="00F1411A" w:rsidRPr="00B10C8B" w:rsidRDefault="00F1411A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B10C8B">
        <w:rPr>
          <w:rFonts w:ascii="Arial" w:hAnsi="Arial" w:cs="Arial"/>
          <w:color w:val="auto"/>
          <w:sz w:val="22"/>
          <w:szCs w:val="22"/>
        </w:rPr>
        <w:t xml:space="preserve">Uzaicinājuma </w:t>
      </w:r>
      <w:proofErr w:type="spellStart"/>
      <w:r w:rsidRPr="00B10C8B">
        <w:rPr>
          <w:rFonts w:ascii="Arial" w:hAnsi="Arial" w:cs="Arial"/>
          <w:color w:val="auto"/>
          <w:sz w:val="22"/>
          <w:szCs w:val="22"/>
        </w:rPr>
        <w:t>komercpiedāvājuma</w:t>
      </w:r>
      <w:proofErr w:type="spellEnd"/>
      <w:r w:rsidRPr="00B10C8B">
        <w:rPr>
          <w:rFonts w:ascii="Arial" w:hAnsi="Arial" w:cs="Arial"/>
          <w:color w:val="auto"/>
          <w:sz w:val="22"/>
          <w:szCs w:val="22"/>
        </w:rPr>
        <w:t xml:space="preserve"> iesniegšanai</w:t>
      </w:r>
    </w:p>
    <w:p w14:paraId="57708EB6" w14:textId="77777777" w:rsidR="00F1411A" w:rsidRPr="00B10C8B" w:rsidRDefault="00F1411A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r w:rsidRPr="00B10C8B">
        <w:rPr>
          <w:rFonts w:ascii="Arial" w:hAnsi="Arial" w:cs="Arial"/>
          <w:color w:val="auto"/>
          <w:sz w:val="22"/>
          <w:szCs w:val="22"/>
        </w:rPr>
        <w:t>tirgus izpētei “</w:t>
      </w:r>
      <w:proofErr w:type="spellStart"/>
      <w:r w:rsidRPr="00B10C8B">
        <w:rPr>
          <w:rFonts w:ascii="Arial" w:hAnsi="Arial" w:cs="Arial"/>
          <w:color w:val="auto"/>
          <w:sz w:val="22"/>
          <w:szCs w:val="22"/>
        </w:rPr>
        <w:t>Dīzeļģeneratoru</w:t>
      </w:r>
      <w:proofErr w:type="spellEnd"/>
      <w:r w:rsidRPr="00B10C8B">
        <w:rPr>
          <w:rFonts w:ascii="Arial" w:hAnsi="Arial" w:cs="Arial"/>
          <w:color w:val="auto"/>
          <w:sz w:val="22"/>
          <w:szCs w:val="22"/>
        </w:rPr>
        <w:t xml:space="preserve"> piegāde”</w:t>
      </w:r>
    </w:p>
    <w:p w14:paraId="0BACCAF1" w14:textId="4A100466" w:rsidR="00F1411A" w:rsidRPr="00B10C8B" w:rsidRDefault="003723BB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r w:rsidRPr="00B10C8B">
        <w:rPr>
          <w:rFonts w:ascii="Arial" w:hAnsi="Arial" w:cs="Arial"/>
          <w:color w:val="auto"/>
          <w:sz w:val="22"/>
          <w:szCs w:val="22"/>
        </w:rPr>
        <w:t>4</w:t>
      </w:r>
      <w:r w:rsidR="00F1411A" w:rsidRPr="00B10C8B">
        <w:rPr>
          <w:rFonts w:ascii="Arial" w:hAnsi="Arial" w:cs="Arial"/>
          <w:color w:val="auto"/>
          <w:sz w:val="22"/>
          <w:szCs w:val="22"/>
        </w:rPr>
        <w:t>. pielikums</w:t>
      </w:r>
    </w:p>
    <w:p w14:paraId="1958E848" w14:textId="16818425" w:rsidR="00DB2498" w:rsidRPr="00B10C8B" w:rsidRDefault="003723BB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10C8B">
        <w:rPr>
          <w:rFonts w:ascii="Arial" w:hAnsi="Arial" w:cs="Arial"/>
          <w:b/>
          <w:bCs/>
          <w:color w:val="auto"/>
          <w:sz w:val="22"/>
          <w:szCs w:val="22"/>
        </w:rPr>
        <w:t>Preces t</w:t>
      </w:r>
      <w:r w:rsidR="00DB2498" w:rsidRPr="00B10C8B">
        <w:rPr>
          <w:rFonts w:ascii="Arial" w:hAnsi="Arial" w:cs="Arial"/>
          <w:b/>
          <w:bCs/>
          <w:color w:val="auto"/>
          <w:sz w:val="22"/>
          <w:szCs w:val="22"/>
        </w:rPr>
        <w:t>ehnisk</w:t>
      </w:r>
      <w:r w:rsidRPr="00B10C8B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DB2498" w:rsidRPr="00B10C8B">
        <w:rPr>
          <w:rFonts w:ascii="Arial" w:hAnsi="Arial" w:cs="Arial"/>
          <w:b/>
          <w:bCs/>
          <w:color w:val="auto"/>
          <w:sz w:val="22"/>
          <w:szCs w:val="22"/>
        </w:rPr>
        <w:t xml:space="preserve"> prasīb</w:t>
      </w:r>
      <w:r w:rsidRPr="00B10C8B"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B10C8B" w:rsidRPr="00B10C8B">
        <w:rPr>
          <w:rFonts w:ascii="Arial" w:hAnsi="Arial" w:cs="Arial"/>
          <w:b/>
          <w:bCs/>
          <w:color w:val="auto"/>
          <w:sz w:val="22"/>
          <w:szCs w:val="22"/>
        </w:rPr>
        <w:t xml:space="preserve"> salīdzinājuma tabula</w:t>
      </w:r>
    </w:p>
    <w:p w14:paraId="17466984" w14:textId="01B73997" w:rsidR="00B47AA6" w:rsidRPr="00B10C8B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D290788" w14:textId="5EEAE441" w:rsidR="00B10C8B" w:rsidRPr="00C210CA" w:rsidRDefault="00B10C8B" w:rsidP="00B10C8B">
      <w:pPr>
        <w:pStyle w:val="Sarakstarindkopa"/>
        <w:numPr>
          <w:ilvl w:val="0"/>
          <w:numId w:val="19"/>
        </w:numPr>
        <w:rPr>
          <w:rFonts w:ascii="Arial" w:hAnsi="Arial" w:cs="Arial"/>
          <w:b/>
          <w:lang w:eastAsia="lv-LV"/>
        </w:rPr>
      </w:pPr>
      <w:proofErr w:type="spellStart"/>
      <w:r w:rsidRPr="00C210CA">
        <w:rPr>
          <w:rFonts w:ascii="Arial" w:hAnsi="Arial" w:cs="Arial"/>
          <w:b/>
          <w:lang w:eastAsia="lv-LV"/>
        </w:rPr>
        <w:t>Dīzeļģenerators</w:t>
      </w:r>
      <w:proofErr w:type="spellEnd"/>
      <w:r w:rsidRPr="00C210CA">
        <w:rPr>
          <w:rFonts w:ascii="Arial" w:hAnsi="Arial" w:cs="Arial"/>
          <w:b/>
          <w:lang w:eastAsia="lv-LV"/>
        </w:rPr>
        <w:t xml:space="preserve"> 12 </w:t>
      </w:r>
      <w:proofErr w:type="spellStart"/>
      <w:r w:rsidRPr="00C210CA">
        <w:rPr>
          <w:rFonts w:ascii="Arial" w:hAnsi="Arial" w:cs="Arial"/>
          <w:b/>
          <w:lang w:eastAsia="lv-LV"/>
        </w:rPr>
        <w:t>kVa</w:t>
      </w:r>
      <w:proofErr w:type="spellEnd"/>
      <w:r w:rsidRPr="00C210CA">
        <w:rPr>
          <w:rFonts w:ascii="Arial" w:hAnsi="Arial" w:cs="Arial"/>
          <w:b/>
          <w:lang w:eastAsia="lv-LV"/>
        </w:rPr>
        <w:t>, 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06"/>
        <w:gridCol w:w="5431"/>
        <w:gridCol w:w="5463"/>
      </w:tblGrid>
      <w:tr w:rsidR="00B10C8B" w:rsidRPr="00B10C8B" w14:paraId="5D7F5B85" w14:textId="77777777" w:rsidTr="00AC723C">
        <w:trPr>
          <w:trHeight w:val="5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AB843" w14:textId="77777777" w:rsidR="00B10C8B" w:rsidRPr="00B10C8B" w:rsidRDefault="00B10C8B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48B8481" w14:textId="77777777" w:rsidR="00B10C8B" w:rsidRPr="00B10C8B" w:rsidRDefault="00B10C8B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74279" w14:textId="60A98BBC" w:rsidR="00B10C8B" w:rsidRPr="00B10C8B" w:rsidRDefault="00B10C8B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33E6" w14:textId="303F15A1" w:rsidR="00B10C8B" w:rsidRPr="00B10C8B" w:rsidRDefault="00B10C8B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</w:t>
            </w:r>
            <w:r w:rsidR="00784E35">
              <w:rPr>
                <w:rFonts w:ascii="Arial" w:hAnsi="Arial" w:cs="Arial"/>
                <w:b/>
                <w:sz w:val="22"/>
                <w:szCs w:val="22"/>
                <w:lang w:val="lv-LV"/>
              </w:rPr>
              <w:t>e</w:t>
            </w: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parametri vai komplektācija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B8A24" w14:textId="3ACA9DFA" w:rsidR="00B10C8B" w:rsidRPr="00B10C8B" w:rsidRDefault="009A0AAD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</w:t>
            </w:r>
            <w:r w:rsidR="00B10C8B"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parametri</w:t>
            </w:r>
            <w:r w:rsidR="006D4910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vai komplektācija</w:t>
            </w:r>
          </w:p>
        </w:tc>
      </w:tr>
      <w:tr w:rsidR="00B10C8B" w:rsidRPr="00B10C8B" w14:paraId="13B2DB31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F25A" w14:textId="77777777" w:rsidR="00B10C8B" w:rsidRPr="00B10C8B" w:rsidRDefault="00B10C8B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5C42" w14:textId="77777777" w:rsidR="00B10C8B" w:rsidRPr="00B10C8B" w:rsidRDefault="00B10C8B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29AB" w14:textId="77777777" w:rsidR="00B10C8B" w:rsidRPr="00B10C8B" w:rsidRDefault="00B10C8B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8DA" w14:textId="77777777" w:rsidR="00B10C8B" w:rsidRPr="00B10C8B" w:rsidRDefault="00B10C8B" w:rsidP="00B10C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ED6DBF" w:rsidRPr="00B10C8B" w14:paraId="72A89812" w14:textId="77777777" w:rsidTr="00B10C8B">
        <w:trPr>
          <w:trHeight w:val="5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B45A" w14:textId="631B2A69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BA75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Dīzeļģeneratora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B92" w14:textId="1351294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Jauns, stacionārais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, paredzēts industriālai lietošanai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D8E" w14:textId="1844FB42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03D37B34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A3D6" w14:textId="6B5B5E6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04D7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Spriegums, V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5326" w14:textId="3962C2AA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3f, 400/230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CA6" w14:textId="2967CB19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48D37EF3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1DA1" w14:textId="2E74F1B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9BFA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Frekvence, Hz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B4A5" w14:textId="5E3A5759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50 (+/-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5%)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3DB" w14:textId="0DE759CC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1028F9A2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AAC" w14:textId="325E6C10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5F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Sprieguma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0E57" w14:textId="4F1BF902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Automātiskā (+/-1%)(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AVR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-</w:t>
            </w:r>
            <w:r w:rsidRPr="00495064">
              <w:rPr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automatic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voltage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regulators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ADF" w14:textId="7F6CA72B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16904751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D4F" w14:textId="08EB6737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1EA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Frekvences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CEC7" w14:textId="6D4D5BD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Mehāniskā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2C3" w14:textId="06562871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2D64FFDB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A74C" w14:textId="31B24DF0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E347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Veiktspējas klase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E5F" w14:textId="22ED0C71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G2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BB5" w14:textId="325A286E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lv-LV"/>
              </w:rPr>
            </w:pPr>
          </w:p>
        </w:tc>
      </w:tr>
      <w:tr w:rsidR="00ED6DBF" w:rsidRPr="00B10C8B" w14:paraId="7A09E410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4D34" w14:textId="5265A5B8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72CC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rezerves jauda ESP, 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AB5" w14:textId="3CBA74EA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12 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058" w14:textId="47CDD256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61C14C2F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301" w14:textId="514CCAEF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A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pastāvīgā jauda PRP, 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90C3" w14:textId="794C38A8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10.9 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00D" w14:textId="3E0B06EF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016A47CA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2A1" w14:textId="72F2569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87C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Apgriezienu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 skaits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A967" w14:textId="6D509ADA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1500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B6A" w14:textId="4815C28F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00CDC583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C19C" w14:textId="374B055B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6479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Izplūdes gāzu klusinātājs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635B" w14:textId="7ADFC887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mazāks par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29dB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5507" w14:textId="05D5C996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784E35" w14:paraId="16B69C2F" w14:textId="77777777" w:rsidTr="00B10C8B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F81" w14:textId="691EEA1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B8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Nesošā rāmja ārējie izmēri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6F0C" w14:textId="77777777" w:rsidR="00ED6DBF" w:rsidRPr="00495064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Platums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ne 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irāk kā 750mm</w:t>
            </w:r>
          </w:p>
          <w:p w14:paraId="3CD22791" w14:textId="19ECFC33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Pārējie izmēri – nav svarīgi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D3B" w14:textId="75A3269A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4AF4B652" w14:textId="77777777" w:rsidTr="00B10C8B">
        <w:trPr>
          <w:trHeight w:val="3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7231" w14:textId="72EA54B9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A7B3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Degvielas tvertnes tilpums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7F6E" w14:textId="4BEC688B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50 (litri)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D1C" w14:textId="0F0CDB1C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7824AAE5" w14:textId="77777777" w:rsidTr="00B10C8B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7E4" w14:textId="65F409CA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DFF8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Kontroles un vadības panelis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D18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APM403 daudzpusīga vadības ierīce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vai ekvivalents</w:t>
            </w: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, kas ļauj operēt</w:t>
            </w:r>
          </w:p>
          <w:p w14:paraId="0864917B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manuālajā vai automātiskajā režīmā</w:t>
            </w:r>
          </w:p>
          <w:p w14:paraId="152DD468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Mērījumi: spriegums un strāva</w:t>
            </w:r>
          </w:p>
          <w:p w14:paraId="1A3A6084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kW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kWh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kVA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jaudas mērījumi</w:t>
            </w:r>
          </w:p>
          <w:p w14:paraId="4C956D69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Standarta funkcijas: voltmetrs, frekvences mērītājs.</w:t>
            </w:r>
          </w:p>
          <w:p w14:paraId="1B933D99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Trauksmes un defekti: eļļas spiediens, dzesēšanas šķidruma temperatūra,</w:t>
            </w:r>
          </w:p>
          <w:p w14:paraId="7AAED1FF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lastRenderedPageBreak/>
              <w:t xml:space="preserve">Dzinēja ātruma pārsniegšana, palaišanas atteice, ģeneratora min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max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, avārijas stop poga.</w:t>
            </w:r>
          </w:p>
          <w:p w14:paraId="1FBB256A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Dzinēja parametri: Degvielas līmenis, stundu skaitītājs, akumulatora spriegums.</w:t>
            </w:r>
          </w:p>
          <w:p w14:paraId="69971E0F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Notikumu žurnāls / pēdējo 300 notikumu pārvaldība.</w:t>
            </w:r>
          </w:p>
          <w:p w14:paraId="65691B62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Tīkla un ģeneratora aizsardzība.</w:t>
            </w:r>
          </w:p>
          <w:p w14:paraId="0C4C7B10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USB savienojumi.</w:t>
            </w:r>
          </w:p>
          <w:p w14:paraId="6D19BCF9" w14:textId="77777777" w:rsidR="00ED6DBF" w:rsidRPr="00D117F1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Komunikācijas: RS485 interfeiss,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ModBUS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protokols / SNMP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Ethernet</w:t>
            </w:r>
            <w:proofErr w:type="spellEnd"/>
          </w:p>
          <w:p w14:paraId="0A861805" w14:textId="477379B5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249F" w14:textId="7B3E69B4" w:rsidR="00ED6DBF" w:rsidRPr="00B10C8B" w:rsidRDefault="00ED6DBF" w:rsidP="00ED6DBF">
            <w:pPr>
              <w:pStyle w:val="LDZ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DBF" w:rsidRPr="00B10C8B" w14:paraId="187F6821" w14:textId="77777777" w:rsidTr="00B10C8B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9CE" w14:textId="51DE2ABF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BFE" w14:textId="77777777" w:rsidR="00ED6DBF" w:rsidRPr="00B10C8B" w:rsidRDefault="00ED6DBF" w:rsidP="00ED6DB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Kontroles signāli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460A" w14:textId="5D9EFB8F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Programmējami NO un NC kontakti (6 gab.) 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pieslēgumam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pie DGVD  un SCADA sadales,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Modbus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Ethernet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483" w14:textId="246A28DC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20122197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8DA" w14:textId="41FDE3B8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2C3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39D7" w14:textId="359DFA49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KDW1404 vai ekvivalents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58F" w14:textId="17AE4D2D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2C06F20C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43F" w14:textId="1656A78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7F48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Dzinēja jauda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AAA" w14:textId="39E93785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Ne mazāk kā 11.50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kW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8C1" w14:textId="14D3753E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6FB4B8B8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719" w14:textId="1A7F8DB5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D186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Degvielas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A8B" w14:textId="00435FA6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Dīzeļdegviela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0AB" w14:textId="0F45805A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B10C8B" w14:paraId="2D123AD1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A91" w14:textId="10658ADB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98E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Dzesēšanas veids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539" w14:textId="6058150F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Dzesēšanas šķidrums (antifrīzs,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tosols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471E" w14:textId="7859B257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784E35" w14:paraId="4BE45629" w14:textId="77777777" w:rsidTr="00B10C8B">
        <w:trPr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380" w14:textId="09FC29EB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8B98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Ģenerējošā iekārta (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alternators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14BF" w14:textId="070182E4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KOHLER-SDMO KH00350T vai ekvivalents,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bezsuku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tipa, 4 polu,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Cos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fi 0,8, izolācijas klase H, maksimālā jauda 11.80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kVA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, pārslodzes spēja 3In uz 10 sek.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4A6" w14:textId="241BB5E8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08BA4AA6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4547" w14:textId="308FA9A2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B3A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Atbilstības apliecinājumi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428" w14:textId="77777777" w:rsidR="00ED6DBF" w:rsidRPr="00495064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Dzinējs: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ISO 3046, DIN 6271, BS 5514.</w:t>
            </w:r>
          </w:p>
          <w:p w14:paraId="6D061FA3" w14:textId="77777777" w:rsidR="00ED6DBF" w:rsidRPr="00495064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Ģenerējošā iekārta: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UTE NF C 51,111, VDE 0530, BS 4999, </w:t>
            </w:r>
            <w:proofErr w:type="spellStart"/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Nema</w:t>
            </w:r>
            <w:proofErr w:type="spellEnd"/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MG 21, IEC 34.1</w:t>
            </w:r>
          </w:p>
          <w:p w14:paraId="1EF89765" w14:textId="77777777" w:rsidR="00ED6DBF" w:rsidRPr="00495064" w:rsidRDefault="00ED6DBF" w:rsidP="00ED6D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Ģeneratoragregāts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ISO 8528</w:t>
            </w:r>
          </w:p>
          <w:p w14:paraId="1B820A63" w14:textId="41D4B5D0" w:rsidR="00ED6DBF" w:rsidRPr="00B10C8B" w:rsidRDefault="00ED6DBF" w:rsidP="00ED6DBF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i/>
                <w:sz w:val="22"/>
                <w:szCs w:val="22"/>
              </w:rPr>
              <w:t xml:space="preserve">Iekārtas ražotāja testēšanas </w:t>
            </w:r>
            <w:proofErr w:type="spellStart"/>
            <w:r w:rsidRPr="00495064">
              <w:rPr>
                <w:rFonts w:ascii="Arial" w:hAnsi="Arial" w:cs="Arial"/>
                <w:i/>
                <w:sz w:val="22"/>
                <w:szCs w:val="22"/>
              </w:rPr>
              <w:t>dapartamentam</w:t>
            </w:r>
            <w:proofErr w:type="spellEnd"/>
            <w:r w:rsidRPr="00495064">
              <w:rPr>
                <w:rFonts w:ascii="Arial" w:hAnsi="Arial" w:cs="Arial"/>
                <w:i/>
                <w:sz w:val="22"/>
                <w:szCs w:val="22"/>
              </w:rPr>
              <w:t xml:space="preserve"> jābūt akreditētam no neatkarīgas organizācijas puses atbilstoši  </w:t>
            </w:r>
            <w:r w:rsidRPr="00495064">
              <w:rPr>
                <w:rFonts w:ascii="Arial" w:hAnsi="Arial" w:cs="Arial"/>
                <w:b/>
                <w:i/>
                <w:sz w:val="22"/>
                <w:szCs w:val="22"/>
              </w:rPr>
              <w:t>IS0/IEC 17025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AAB" w14:textId="561E5A53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DBF" w:rsidRPr="00B10C8B" w14:paraId="6B0ED667" w14:textId="77777777" w:rsidTr="00B10C8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84C3" w14:textId="428182A3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177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Pamatkomplektācija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0BDB" w14:textId="77777777" w:rsidR="00ED6DBF" w:rsidRPr="00495064" w:rsidRDefault="00ED6DBF" w:rsidP="00ED6DBF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montēts uz metāla rāmja ar </w:t>
            </w: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pretvibrācijas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balstiem, ar rāmī integrētu metāla degvielas tvertni, ar šķidruma dzesēšanas radiatoru (āra temperatūrai līdz +50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C), ventilatoru, 12V lādēšanas ģeneratoru un starteri, uzlādētām akumulatoru baterijām, izplūdes gāzu klusinātāju, sausu gaisa filtru, eļļas spiediena un dzesēšanas šķidruma temperatūras signāla devējiem un jaudai atbilstošu </w:t>
            </w: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automātslēdzi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. Radiators uzpildīts ar dzesēšanas šķidrumu (-30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C), aizsardzības režģis ventilatoram un rotējošām detaļām. Aprīkots ar 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elektrisku dzesēšanas šķidruma sildītāju (230V) un akumulatora lādētāju.</w:t>
            </w:r>
          </w:p>
          <w:p w14:paraId="4EB630CD" w14:textId="20AAB604" w:rsidR="00ED6DBF" w:rsidRPr="00B10C8B" w:rsidRDefault="00ED6DBF" w:rsidP="00ED6DBF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Visām iekārtām ir instrukcija latviešu valodā.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4DC" w14:textId="657C0235" w:rsidR="00ED6DBF" w:rsidRPr="00B10C8B" w:rsidRDefault="00ED6DBF" w:rsidP="00ED6DBF">
            <w:pPr>
              <w:pStyle w:val="WW-Default"/>
              <w:ind w:left="2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ED6DBF" w:rsidRPr="00784E35" w14:paraId="3A2CF211" w14:textId="77777777" w:rsidTr="00B10C8B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2D3F" w14:textId="513779FE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F3B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Garantija, garantijas serviss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000" w14:textId="0B800C35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Garantija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– ne mazāk, ka 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36 (trīsdesmit seši) mēneši. Garantijas serviss veicams pēc ražotāja norādījumiem un visā (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) garantijas perioda laikā, stingrā saskaņā ar iepirkuma līgumu.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A78" w14:textId="616DA636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784E35" w14:paraId="4302D088" w14:textId="77777777" w:rsidTr="00B10C8B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568" w14:textId="0BF86428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71D1" w14:textId="77777777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AKB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24" w14:textId="095ADC2B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Ir uzstādīta automātiska АКB uzlādes iekārta gaidīšanas režīmā,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A46" w14:textId="468E423A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ED6DBF" w:rsidRPr="00784E35" w14:paraId="24F9203B" w14:textId="77777777" w:rsidTr="00B10C8B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A0B" w14:textId="1DD02D5D" w:rsidR="00ED6DBF" w:rsidRPr="00B10C8B" w:rsidRDefault="00ED6DBF" w:rsidP="00ED6DB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3A1" w14:textId="31401F8E" w:rsidR="00ED6DBF" w:rsidRPr="00B10C8B" w:rsidRDefault="00ED6DBF" w:rsidP="00ED6DB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Apsilde </w:t>
            </w:r>
            <w:r w:rsidR="00521EF1" w:rsidRPr="00B10C8B">
              <w:rPr>
                <w:rFonts w:ascii="Arial" w:hAnsi="Arial" w:cs="Arial"/>
                <w:sz w:val="22"/>
                <w:szCs w:val="22"/>
                <w:lang w:val="lv-LV"/>
              </w:rPr>
              <w:t>automātiskās</w:t>
            </w: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 darbības nodrošināšanai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617" w14:textId="5B7EE425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dzin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ē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js aprīkots ar dzesēšanas šķidruma sildītāju,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896" w14:textId="5A8F9864" w:rsidR="00ED6DBF" w:rsidRPr="00B10C8B" w:rsidRDefault="00ED6DBF" w:rsidP="00ED6DB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bookmarkEnd w:id="0"/>
      <w:bookmarkEnd w:id="1"/>
    </w:tbl>
    <w:p w14:paraId="045633D4" w14:textId="6E823FC7" w:rsidR="003E7675" w:rsidRPr="00B10C8B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15D5B400" w14:textId="42671D78" w:rsidR="00B10C8B" w:rsidRPr="00B10C8B" w:rsidRDefault="00B10C8B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8E26AA6" w14:textId="77777777" w:rsidR="00B10C8B" w:rsidRPr="00B10C8B" w:rsidRDefault="00B10C8B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15D31A4E" w14:textId="48056992" w:rsidR="00B10C8B" w:rsidRPr="00C210CA" w:rsidRDefault="00B10C8B" w:rsidP="00B10C8B">
      <w:pPr>
        <w:pStyle w:val="Sarakstarindkopa"/>
        <w:numPr>
          <w:ilvl w:val="0"/>
          <w:numId w:val="19"/>
        </w:numPr>
        <w:rPr>
          <w:rFonts w:ascii="Arial" w:hAnsi="Arial" w:cs="Arial"/>
          <w:b/>
          <w:lang w:eastAsia="lv-LV"/>
        </w:rPr>
      </w:pPr>
      <w:proofErr w:type="spellStart"/>
      <w:r w:rsidRPr="00C210CA">
        <w:rPr>
          <w:rFonts w:ascii="Arial" w:hAnsi="Arial" w:cs="Arial"/>
          <w:b/>
          <w:lang w:eastAsia="lv-LV"/>
        </w:rPr>
        <w:t>Dīzeļģenerators</w:t>
      </w:r>
      <w:proofErr w:type="spellEnd"/>
      <w:r w:rsidRPr="00C210CA">
        <w:rPr>
          <w:rFonts w:ascii="Arial" w:hAnsi="Arial" w:cs="Arial"/>
          <w:b/>
          <w:lang w:eastAsia="lv-LV"/>
        </w:rPr>
        <w:t xml:space="preserve"> 44 </w:t>
      </w:r>
      <w:proofErr w:type="spellStart"/>
      <w:r w:rsidRPr="00C210CA">
        <w:rPr>
          <w:rFonts w:ascii="Arial" w:hAnsi="Arial" w:cs="Arial"/>
          <w:b/>
          <w:lang w:eastAsia="lv-LV"/>
        </w:rPr>
        <w:t>kVa</w:t>
      </w:r>
      <w:proofErr w:type="spellEnd"/>
      <w:r w:rsidRPr="00C210CA">
        <w:rPr>
          <w:rFonts w:ascii="Arial" w:hAnsi="Arial" w:cs="Arial"/>
          <w:b/>
          <w:lang w:eastAsia="lv-LV"/>
        </w:rPr>
        <w:t>, 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06"/>
        <w:gridCol w:w="5431"/>
        <w:gridCol w:w="5463"/>
      </w:tblGrid>
      <w:tr w:rsidR="00B10C8B" w:rsidRPr="00B10C8B" w14:paraId="4EFB1EEA" w14:textId="77777777" w:rsidTr="006B0FC7">
        <w:trPr>
          <w:trHeight w:val="5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39F12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271A3DEC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4C0B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01C83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9141" w14:textId="272C47EE" w:rsidR="00B10C8B" w:rsidRPr="00B10C8B" w:rsidRDefault="006D4910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vai komplektācija</w:t>
            </w:r>
          </w:p>
        </w:tc>
      </w:tr>
      <w:tr w:rsidR="00B10C8B" w:rsidRPr="00B10C8B" w14:paraId="4CF69445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C89C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B4BA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3C48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188" w14:textId="77777777" w:rsidR="00B10C8B" w:rsidRPr="00B10C8B" w:rsidRDefault="00B10C8B" w:rsidP="006B0F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521EF1" w:rsidRPr="00B10C8B" w14:paraId="1D0F4A57" w14:textId="77777777" w:rsidTr="006B0FC7">
        <w:trPr>
          <w:trHeight w:val="5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EA31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2C72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Dīzeļģeneratora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F8AA" w14:textId="6B946AD5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Jauns, stacionārais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, paredzēts industriālai lietošanai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72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71D745C1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02A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1CD1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Spriegums, V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495" w14:textId="40D89039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3f, 400/230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CFB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3305AFE9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E8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733F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Frekvence, Hz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D69" w14:textId="5CB33E09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sz w:val="22"/>
                <w:szCs w:val="22"/>
                <w:lang w:val="lv-LV"/>
              </w:rPr>
              <w:t>50 (+/-1%)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300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27345625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5E39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B614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Sprieguma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0364" w14:textId="6DE7EF54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Automātiskā (+/-0.5%)(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AVR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-</w:t>
            </w:r>
            <w:r w:rsidRPr="00495064">
              <w:rPr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automatic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voltage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regulators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34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17C76688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887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121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Frekvences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D38B" w14:textId="146E4A63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Elektroniska, ar iespēju pieregulēt no vadības konsoles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36A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67DA6272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2DE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6C3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Veiktspējas klase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983F" w14:textId="3ABC7C8C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7D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lv-LV"/>
              </w:rPr>
            </w:pPr>
          </w:p>
        </w:tc>
      </w:tr>
      <w:tr w:rsidR="00521EF1" w:rsidRPr="00B10C8B" w14:paraId="20B2F6EA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37A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6705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rezerves jauda ESP, 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13A4" w14:textId="441FD3F6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44 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8D6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7D753F8C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3B70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F5A7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pastāvīgā jauda PRP, 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E9D4" w14:textId="44237F2B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40 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BB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32B6960C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D6E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A46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Apgriezienu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 xml:space="preserve"> skaits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C395" w14:textId="469097C2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1500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EECB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681CD6BE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1BF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586D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Izplūdes gāzu klusinātājs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FF2" w14:textId="04CA242B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mazāks par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29dB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524A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6CC54E14" w14:textId="77777777" w:rsidTr="006B0FC7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2C83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11.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703C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Nesošā rāmja ārējie izmēri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D2BC" w14:textId="229113FB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Izmēri nav svarīgi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D4A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140E86FA" w14:textId="77777777" w:rsidTr="006B0FC7">
        <w:trPr>
          <w:trHeight w:val="3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36D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0EB4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Degvielas tvertnes tilpums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EE5" w14:textId="64DC6AC8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100 (litri)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372E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36800ABA" w14:textId="77777777" w:rsidTr="006B0FC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DF31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2162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Kontroles un vadības panelis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D70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APM403 daudzpusīga vadības ierīce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vai ekvivalents</w:t>
            </w:r>
            <w:r w:rsidRPr="00D117F1">
              <w:rPr>
                <w:rFonts w:ascii="Arial" w:hAnsi="Arial" w:cs="Arial"/>
                <w:bCs/>
                <w:sz w:val="22"/>
                <w:szCs w:val="22"/>
              </w:rPr>
              <w:t>, kas ļauj operēt</w:t>
            </w:r>
          </w:p>
          <w:p w14:paraId="73995AB2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manuālajā vai automātiskajā režīmā</w:t>
            </w:r>
          </w:p>
          <w:p w14:paraId="5D3945EA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Mērījumi: spriegums un strāva</w:t>
            </w:r>
          </w:p>
          <w:p w14:paraId="793C0788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kW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kWh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kVA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jaudas mērījumi</w:t>
            </w:r>
          </w:p>
          <w:p w14:paraId="0EF9F155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Standarta funkcijas: voltmetrs, frekvences mērītājs.</w:t>
            </w:r>
          </w:p>
          <w:p w14:paraId="25AC0659" w14:textId="77777777" w:rsidR="00521EF1" w:rsidRPr="00D117F1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8C6076">
              <w:rPr>
                <w:rFonts w:ascii="Arial" w:hAnsi="Arial" w:cs="Arial"/>
                <w:bCs/>
                <w:sz w:val="22"/>
                <w:szCs w:val="22"/>
                <w:lang w:val="lv-LV"/>
              </w:rPr>
              <w:t>J1939 CAN ECU dzinēja vadība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vai ekvivalents</w:t>
            </w:r>
          </w:p>
          <w:p w14:paraId="537C4E36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Trauksmes un defekti: eļļas spiediens, dzesēšanas šķidruma temperatūra.</w:t>
            </w:r>
          </w:p>
          <w:p w14:paraId="62D14B33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Dzinēja ātruma pārsniegšana, palaišanas atteice, ģeneratora min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max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>, avārijas stop poga.</w:t>
            </w:r>
          </w:p>
          <w:p w14:paraId="123EDEB6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Dzinēja parametri: Degvielas līmenis, stundu skaitītājs, akumulatora spriegums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D117F1">
              <w:rPr>
                <w:rFonts w:ascii="Arial" w:hAnsi="Arial" w:cs="Arial"/>
                <w:bCs/>
                <w:sz w:val="22"/>
                <w:szCs w:val="22"/>
              </w:rPr>
              <w:t>eļļas spiediens, ūdens temperatūra.</w:t>
            </w:r>
          </w:p>
          <w:p w14:paraId="10F2B746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Notikumu žurnāls / pēdējo 300 notikumu pārvaldība.</w:t>
            </w:r>
          </w:p>
          <w:p w14:paraId="4A6DB306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Tīkla un ģeneratora aizsardzība.</w:t>
            </w:r>
          </w:p>
          <w:p w14:paraId="6D79C8AA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USB savienojumi.</w:t>
            </w:r>
          </w:p>
          <w:p w14:paraId="741419A4" w14:textId="77777777" w:rsidR="00521EF1" w:rsidRPr="00D117F1" w:rsidRDefault="00521EF1" w:rsidP="00521EF1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Komunikācijas: RS485 interfeiss,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ModBUS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protokols / SNMP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Ethernet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336FC290" w14:textId="76F97084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C45" w14:textId="77777777" w:rsidR="00521EF1" w:rsidRPr="00B10C8B" w:rsidRDefault="00521EF1" w:rsidP="00521EF1">
            <w:pPr>
              <w:pStyle w:val="LDZ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F1" w:rsidRPr="00B10C8B" w14:paraId="4070AC8D" w14:textId="77777777" w:rsidTr="006B0FC7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E7B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7783" w14:textId="77777777" w:rsidR="00521EF1" w:rsidRPr="00B10C8B" w:rsidRDefault="00521EF1" w:rsidP="00521EF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Kontroles signāli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CCD6" w14:textId="2AB7EB3C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Programmējami NO un NC kontakti (6 gab.) 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pieslēgumam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pie DGVD  un SCADA sadales,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Modbus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Ethernet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E4F7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18900E71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6860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0BD6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C5DD" w14:textId="56B70A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KDI2504TM-40 vai ekvivalents, ar elektronisku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apgriezienu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regulēšanu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72D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4230786E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B528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A189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Dzinēja jauda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F517" w14:textId="32D49F5D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4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kW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19F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795CF949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DB5E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82F6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Degvielas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DABA" w14:textId="71FB1CEE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Dīzeļdegviela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F6B8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B10C8B" w14:paraId="6FB83E48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5CE0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0B37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Dzesēšanas veids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10F9" w14:textId="7AB14BD4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Dzesēšanas šķidrums (antifrīzs,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tosols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120D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784E35" w14:paraId="75A78AD9" w14:textId="77777777" w:rsidTr="006B0FC7">
        <w:trPr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4DE4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19.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CF82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Ģenerējošā iekārta (</w:t>
            </w: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alternators</w:t>
            </w:r>
            <w:proofErr w:type="spellEnd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AA74" w14:textId="4EC20329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KOHLER-SDMO KH00602T vai ekvivalents,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bezsuku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tipa, 4 polu,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Cos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fi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0,8, izolācijas klase H, maksimālā jauda 44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kVA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, pārslodzes spēja 3In uz 10 sek.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2AA4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621521E3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CA8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6C64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Atbilstības apliecinājumi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8B50" w14:textId="77777777" w:rsidR="00521EF1" w:rsidRPr="00495064" w:rsidRDefault="00521EF1" w:rsidP="00521EF1">
            <w:pPr>
              <w:pStyle w:val="LDZNormal"/>
              <w:ind w:lef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064">
              <w:rPr>
                <w:rFonts w:ascii="Arial" w:hAnsi="Arial" w:cs="Arial"/>
                <w:sz w:val="22"/>
                <w:szCs w:val="22"/>
              </w:rPr>
              <w:t xml:space="preserve">Dzinējs: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>ISO 3046, DIN 6271, BS 5514.</w:t>
            </w:r>
          </w:p>
          <w:p w14:paraId="670448DD" w14:textId="77777777" w:rsidR="00521EF1" w:rsidRPr="00495064" w:rsidRDefault="00521EF1" w:rsidP="00521EF1">
            <w:pPr>
              <w:pStyle w:val="LDZNormal"/>
              <w:ind w:lef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064">
              <w:rPr>
                <w:rFonts w:ascii="Arial" w:hAnsi="Arial" w:cs="Arial"/>
                <w:sz w:val="22"/>
                <w:szCs w:val="22"/>
              </w:rPr>
              <w:t xml:space="preserve">Ģenerējošā iekārta: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 xml:space="preserve">UTE NF C 51,111, VDE 0530, BS 4999, </w:t>
            </w:r>
            <w:proofErr w:type="spellStart"/>
            <w:r w:rsidRPr="00495064">
              <w:rPr>
                <w:rFonts w:ascii="Arial" w:hAnsi="Arial" w:cs="Arial"/>
                <w:b/>
                <w:sz w:val="22"/>
                <w:szCs w:val="22"/>
              </w:rPr>
              <w:t>Nema</w:t>
            </w:r>
            <w:proofErr w:type="spellEnd"/>
            <w:r w:rsidRPr="00495064">
              <w:rPr>
                <w:rFonts w:ascii="Arial" w:hAnsi="Arial" w:cs="Arial"/>
                <w:b/>
                <w:sz w:val="22"/>
                <w:szCs w:val="22"/>
              </w:rPr>
              <w:t xml:space="preserve"> MG 21, IEC 34.1</w:t>
            </w:r>
          </w:p>
          <w:p w14:paraId="2A6C2718" w14:textId="77777777" w:rsidR="00521EF1" w:rsidRPr="00495064" w:rsidRDefault="00521EF1" w:rsidP="00521EF1">
            <w:pPr>
              <w:pStyle w:val="LDZNormal"/>
              <w:ind w:left="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</w:rPr>
              <w:t>Ģeneratoragregāts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>ISO 8528</w:t>
            </w:r>
          </w:p>
          <w:p w14:paraId="3C075CEE" w14:textId="12249146" w:rsidR="00521EF1" w:rsidRPr="00B10C8B" w:rsidRDefault="00521EF1" w:rsidP="00521EF1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Iekārtas ražotāja testēšanas </w:t>
            </w:r>
            <w:proofErr w:type="spellStart"/>
            <w:r w:rsidRPr="00495064">
              <w:rPr>
                <w:rFonts w:ascii="Arial" w:hAnsi="Arial" w:cs="Arial"/>
                <w:i/>
                <w:sz w:val="22"/>
                <w:szCs w:val="22"/>
              </w:rPr>
              <w:t>dapartamentam</w:t>
            </w:r>
            <w:proofErr w:type="spellEnd"/>
            <w:r w:rsidRPr="00495064">
              <w:rPr>
                <w:rFonts w:ascii="Arial" w:hAnsi="Arial" w:cs="Arial"/>
                <w:i/>
                <w:sz w:val="22"/>
                <w:szCs w:val="22"/>
              </w:rPr>
              <w:t xml:space="preserve"> jābūt akreditētam no neatkarīgas organizācijas puses atbilstoši  </w:t>
            </w:r>
            <w:r w:rsidRPr="00495064">
              <w:rPr>
                <w:rFonts w:ascii="Arial" w:hAnsi="Arial" w:cs="Arial"/>
                <w:b/>
                <w:i/>
                <w:sz w:val="22"/>
                <w:szCs w:val="22"/>
              </w:rPr>
              <w:t>IS0/IEC 17025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36B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1EF1" w:rsidRPr="00B10C8B" w14:paraId="03182F69" w14:textId="77777777" w:rsidTr="006B0F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D23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3DB2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Pamatkomplektācija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FF15" w14:textId="77777777" w:rsidR="00521EF1" w:rsidRPr="00495064" w:rsidRDefault="00521EF1" w:rsidP="00521EF1">
            <w:pPr>
              <w:pStyle w:val="LDZNormal"/>
              <w:ind w:left="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 montēts uz metāla rāmja ar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t>pretvibrācijas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 balstiem, ar rāmī integrētu metāla degvielas tvertni, ar šķidruma dzesēšanas radiatoru (āra temperatūrai līdz +50</w:t>
            </w:r>
            <w:r w:rsidRPr="0049506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C), mehānisku ventilatoru, 12V lādēšanas ģeneratoru un starteri, uzlādētām akumulatoru baterijām, izplūdes gāzu klusinātāju, sausu gaisa filtru, eļļas spiediena un dzesēšanas šķidruma temperatūras signāla devējiem un jaudai atbilstošu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t>automātslēdzi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>. Radiators uzpildīts ar dzesēšanas šķidrumu (-30</w:t>
            </w:r>
            <w:r w:rsidRPr="0049506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sz w:val="22"/>
                <w:szCs w:val="22"/>
              </w:rPr>
              <w:t>C), aizsardzības režģis ventilatoram un rotējošām detaļām. Aprīkots ar elektrisku dzesēšanas šķidruma sildītāju (230V) un akumulatora lādētāju.</w:t>
            </w:r>
          </w:p>
          <w:p w14:paraId="0A9D4DA8" w14:textId="3FF5A624" w:rsidR="00521EF1" w:rsidRPr="00B10C8B" w:rsidRDefault="00521EF1" w:rsidP="00521EF1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</w:rPr>
              <w:t>Visām iekārtām ir instrukcija latviešu valodā.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439" w14:textId="77777777" w:rsidR="00521EF1" w:rsidRPr="00B10C8B" w:rsidRDefault="00521EF1" w:rsidP="00521EF1">
            <w:pPr>
              <w:pStyle w:val="WW-Default"/>
              <w:ind w:left="2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521EF1" w:rsidRPr="00784E35" w14:paraId="3D2C3876" w14:textId="77777777" w:rsidTr="006B0FC7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44F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D824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Garantija, garantijas serviss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499" w14:textId="11A5F9BD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Garantija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– ne mazāk, ka 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36 (trīsdesmit seši) mēneši. Garantijas serviss veicams pēc ražotāja norādījumiem un visā (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) garantijas perioda laikā, stingrā saskaņā ar iepirkuma līgumu.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A246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784E35" w14:paraId="1BB354E8" w14:textId="77777777" w:rsidTr="006B0FC7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95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28D" w14:textId="77777777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AKB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D6A" w14:textId="3C0573BF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Ir uzstādīta automātiska АКB uzlādes iekārta gaidīšanas režīmā,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E75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521EF1" w:rsidRPr="00784E35" w14:paraId="2DC15FBA" w14:textId="77777777" w:rsidTr="006B0FC7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6D0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24.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BAF" w14:textId="161B2DFD" w:rsidR="00521EF1" w:rsidRPr="00B10C8B" w:rsidRDefault="00521EF1" w:rsidP="00521EF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10C8B">
              <w:rPr>
                <w:rFonts w:ascii="Arial" w:hAnsi="Arial" w:cs="Arial"/>
                <w:sz w:val="22"/>
                <w:szCs w:val="22"/>
                <w:lang w:val="lv-LV"/>
              </w:rPr>
              <w:t>Apsilde automātiskās darbības nodrošināšanai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569" w14:textId="16222D89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dzinējs aprīkots ar dzesēšanas šķidruma sildītāju,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0902" w14:textId="77777777" w:rsidR="00521EF1" w:rsidRPr="00B10C8B" w:rsidRDefault="00521EF1" w:rsidP="00521E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</w:tbl>
    <w:p w14:paraId="16763D1F" w14:textId="77777777" w:rsidR="00B10C8B" w:rsidRPr="00B10C8B" w:rsidRDefault="00B10C8B" w:rsidP="00B10C8B">
      <w:pPr>
        <w:pStyle w:val="Sarakstarindkopa"/>
        <w:rPr>
          <w:rFonts w:ascii="Arial" w:hAnsi="Arial" w:cs="Arial"/>
        </w:rPr>
      </w:pPr>
    </w:p>
    <w:sectPr w:rsidR="00B10C8B" w:rsidRPr="00B10C8B" w:rsidSect="00CD54B4">
      <w:headerReference w:type="even" r:id="rId8"/>
      <w:footerReference w:type="even" r:id="rId9"/>
      <w:footerReference w:type="default" r:id="rId10"/>
      <w:pgSz w:w="16838" w:h="11906" w:orient="landscape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4026" w14:textId="77777777" w:rsidR="0014432A" w:rsidRDefault="0014432A">
      <w:r>
        <w:separator/>
      </w:r>
    </w:p>
  </w:endnote>
  <w:endnote w:type="continuationSeparator" w:id="0">
    <w:p w14:paraId="21416364" w14:textId="77777777" w:rsidR="0014432A" w:rsidRDefault="0014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7F4BB" w14:textId="77777777" w:rsidR="0014432A" w:rsidRDefault="0014432A">
      <w:r>
        <w:separator/>
      </w:r>
    </w:p>
  </w:footnote>
  <w:footnote w:type="continuationSeparator" w:id="0">
    <w:p w14:paraId="518054EA" w14:textId="77777777" w:rsidR="0014432A" w:rsidRDefault="0014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4425946"/>
    <w:multiLevelType w:val="hybridMultilevel"/>
    <w:tmpl w:val="48E046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17"/>
  </w:num>
  <w:num w:numId="14">
    <w:abstractNumId w:val="12"/>
  </w:num>
  <w:num w:numId="15">
    <w:abstractNumId w:val="18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2AF1"/>
    <w:rsid w:val="00017331"/>
    <w:rsid w:val="00032454"/>
    <w:rsid w:val="00093D64"/>
    <w:rsid w:val="0009515A"/>
    <w:rsid w:val="00097442"/>
    <w:rsid w:val="000A388D"/>
    <w:rsid w:val="000B1853"/>
    <w:rsid w:val="000B26EA"/>
    <w:rsid w:val="000C0D05"/>
    <w:rsid w:val="000F6AE4"/>
    <w:rsid w:val="0010387A"/>
    <w:rsid w:val="0014432A"/>
    <w:rsid w:val="00147A52"/>
    <w:rsid w:val="00147B65"/>
    <w:rsid w:val="001627EB"/>
    <w:rsid w:val="00172768"/>
    <w:rsid w:val="0018605A"/>
    <w:rsid w:val="002074BD"/>
    <w:rsid w:val="00220E7A"/>
    <w:rsid w:val="00240E99"/>
    <w:rsid w:val="00242249"/>
    <w:rsid w:val="0024696F"/>
    <w:rsid w:val="00250DCD"/>
    <w:rsid w:val="00250EA5"/>
    <w:rsid w:val="002D6A86"/>
    <w:rsid w:val="002E6494"/>
    <w:rsid w:val="00300880"/>
    <w:rsid w:val="00312C49"/>
    <w:rsid w:val="00325F45"/>
    <w:rsid w:val="00334761"/>
    <w:rsid w:val="00350BEB"/>
    <w:rsid w:val="00360851"/>
    <w:rsid w:val="003723BB"/>
    <w:rsid w:val="003729D2"/>
    <w:rsid w:val="003738BC"/>
    <w:rsid w:val="00392774"/>
    <w:rsid w:val="0039543E"/>
    <w:rsid w:val="003B20FF"/>
    <w:rsid w:val="003C5F9E"/>
    <w:rsid w:val="003E6173"/>
    <w:rsid w:val="003E7675"/>
    <w:rsid w:val="003F619D"/>
    <w:rsid w:val="004015E5"/>
    <w:rsid w:val="00406530"/>
    <w:rsid w:val="0041129A"/>
    <w:rsid w:val="00431AF6"/>
    <w:rsid w:val="00474003"/>
    <w:rsid w:val="004777E9"/>
    <w:rsid w:val="00495064"/>
    <w:rsid w:val="00497087"/>
    <w:rsid w:val="004C38F0"/>
    <w:rsid w:val="004C61A3"/>
    <w:rsid w:val="004D3CAC"/>
    <w:rsid w:val="004D57CE"/>
    <w:rsid w:val="004F3A97"/>
    <w:rsid w:val="004F4F39"/>
    <w:rsid w:val="00521EF1"/>
    <w:rsid w:val="00521F18"/>
    <w:rsid w:val="00530B1A"/>
    <w:rsid w:val="00547237"/>
    <w:rsid w:val="00567EE6"/>
    <w:rsid w:val="0057298A"/>
    <w:rsid w:val="005A7F60"/>
    <w:rsid w:val="005C0C92"/>
    <w:rsid w:val="005C30F7"/>
    <w:rsid w:val="005E1981"/>
    <w:rsid w:val="005E396B"/>
    <w:rsid w:val="00601E71"/>
    <w:rsid w:val="00611B18"/>
    <w:rsid w:val="00641D2E"/>
    <w:rsid w:val="006437F6"/>
    <w:rsid w:val="0065353E"/>
    <w:rsid w:val="00672E49"/>
    <w:rsid w:val="006C4A2F"/>
    <w:rsid w:val="006D4910"/>
    <w:rsid w:val="006D5FFD"/>
    <w:rsid w:val="006E4603"/>
    <w:rsid w:val="006F06A3"/>
    <w:rsid w:val="006F728C"/>
    <w:rsid w:val="007023DD"/>
    <w:rsid w:val="00720774"/>
    <w:rsid w:val="00722DE0"/>
    <w:rsid w:val="00736AA4"/>
    <w:rsid w:val="0074120B"/>
    <w:rsid w:val="0078005C"/>
    <w:rsid w:val="00784E35"/>
    <w:rsid w:val="007A1328"/>
    <w:rsid w:val="007B1522"/>
    <w:rsid w:val="007D446B"/>
    <w:rsid w:val="007D5688"/>
    <w:rsid w:val="007F2B7E"/>
    <w:rsid w:val="007F5953"/>
    <w:rsid w:val="00856C66"/>
    <w:rsid w:val="00862DC5"/>
    <w:rsid w:val="0087780C"/>
    <w:rsid w:val="0088598B"/>
    <w:rsid w:val="00890164"/>
    <w:rsid w:val="008A5464"/>
    <w:rsid w:val="008C2843"/>
    <w:rsid w:val="008F1AFC"/>
    <w:rsid w:val="00922DFB"/>
    <w:rsid w:val="00927820"/>
    <w:rsid w:val="00953375"/>
    <w:rsid w:val="00970147"/>
    <w:rsid w:val="00975EE1"/>
    <w:rsid w:val="009775DC"/>
    <w:rsid w:val="009A0AAD"/>
    <w:rsid w:val="009A403E"/>
    <w:rsid w:val="009D2A11"/>
    <w:rsid w:val="009D6EEC"/>
    <w:rsid w:val="00A243DD"/>
    <w:rsid w:val="00A27079"/>
    <w:rsid w:val="00A31B0A"/>
    <w:rsid w:val="00A36B7B"/>
    <w:rsid w:val="00A716C4"/>
    <w:rsid w:val="00A718FC"/>
    <w:rsid w:val="00A7323F"/>
    <w:rsid w:val="00A775BB"/>
    <w:rsid w:val="00A858D8"/>
    <w:rsid w:val="00A90CE3"/>
    <w:rsid w:val="00AA02CB"/>
    <w:rsid w:val="00AD5BFE"/>
    <w:rsid w:val="00AD6117"/>
    <w:rsid w:val="00AE1A46"/>
    <w:rsid w:val="00AE34AB"/>
    <w:rsid w:val="00AF1796"/>
    <w:rsid w:val="00B00943"/>
    <w:rsid w:val="00B06345"/>
    <w:rsid w:val="00B10C8B"/>
    <w:rsid w:val="00B122B1"/>
    <w:rsid w:val="00B17826"/>
    <w:rsid w:val="00B35CDA"/>
    <w:rsid w:val="00B47AA6"/>
    <w:rsid w:val="00B53655"/>
    <w:rsid w:val="00B53FBD"/>
    <w:rsid w:val="00B93212"/>
    <w:rsid w:val="00C03049"/>
    <w:rsid w:val="00C210CA"/>
    <w:rsid w:val="00C33BC1"/>
    <w:rsid w:val="00C46B6D"/>
    <w:rsid w:val="00C5638A"/>
    <w:rsid w:val="00C624A8"/>
    <w:rsid w:val="00C83DEB"/>
    <w:rsid w:val="00CC1700"/>
    <w:rsid w:val="00CD54B4"/>
    <w:rsid w:val="00CE3CB5"/>
    <w:rsid w:val="00CF2BF6"/>
    <w:rsid w:val="00D14371"/>
    <w:rsid w:val="00D221B3"/>
    <w:rsid w:val="00D35021"/>
    <w:rsid w:val="00D43DB9"/>
    <w:rsid w:val="00D67AE3"/>
    <w:rsid w:val="00D7098B"/>
    <w:rsid w:val="00DB22C1"/>
    <w:rsid w:val="00DB2498"/>
    <w:rsid w:val="00DC66CD"/>
    <w:rsid w:val="00E004EA"/>
    <w:rsid w:val="00E4132C"/>
    <w:rsid w:val="00E75409"/>
    <w:rsid w:val="00E939FE"/>
    <w:rsid w:val="00EC7C28"/>
    <w:rsid w:val="00ED6DBF"/>
    <w:rsid w:val="00EE45FB"/>
    <w:rsid w:val="00F01FF7"/>
    <w:rsid w:val="00F12B57"/>
    <w:rsid w:val="00F1411A"/>
    <w:rsid w:val="00F4799B"/>
    <w:rsid w:val="00F57D74"/>
    <w:rsid w:val="00F70575"/>
    <w:rsid w:val="00F876CC"/>
    <w:rsid w:val="00F94AF1"/>
    <w:rsid w:val="00FA5205"/>
    <w:rsid w:val="00FD31CB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AB32-C8C2-42E6-82E6-89FE6E01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4570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2021-09-22T09:15:00Z</dcterms:created>
  <dcterms:modified xsi:type="dcterms:W3CDTF">2021-09-22T09:15:00Z</dcterms:modified>
</cp:coreProperties>
</file>