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F7A2" w14:textId="77777777" w:rsidR="00354E9B" w:rsidRPr="003A76E2" w:rsidRDefault="00354E9B" w:rsidP="00354E9B">
      <w:pPr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bookmarkStart w:id="0" w:name="_Hlk79677261"/>
      <w:r w:rsidRPr="003A76E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Uzaicinājuma piedāvājuma iesniegšanai tirgus izpētei</w:t>
      </w:r>
    </w:p>
    <w:p w14:paraId="1BFD410A" w14:textId="5DB4CC83" w:rsidR="00354E9B" w:rsidRPr="003A76E2" w:rsidRDefault="00354E9B" w:rsidP="00354E9B">
      <w:pPr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3A76E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“Atkritumu apsaimniekošana (savākšana,</w:t>
      </w:r>
    </w:p>
    <w:p w14:paraId="64B8DCBD" w14:textId="391955CC" w:rsidR="00354E9B" w:rsidRPr="003A76E2" w:rsidRDefault="00354E9B" w:rsidP="00354E9B">
      <w:pPr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3A76E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pārvadāšana un utilizācija)”</w:t>
      </w:r>
    </w:p>
    <w:p w14:paraId="221E4CEE" w14:textId="754146D9" w:rsidR="00F033EE" w:rsidRPr="003A76E2" w:rsidRDefault="00354E9B" w:rsidP="00354E9B">
      <w:pPr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r w:rsidRPr="003A76E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2.pielikums</w:t>
      </w:r>
    </w:p>
    <w:bookmarkEnd w:id="0"/>
    <w:p w14:paraId="41CFF594" w14:textId="3C55FC8F" w:rsidR="003F1C49" w:rsidRPr="003A76E2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3A76E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7BC5816B" w14:textId="77777777" w:rsidR="0067661A" w:rsidRPr="003A76E2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3A76E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3A76E2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3A76E2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202</w:t>
      </w:r>
      <w:r w:rsidR="00DD57BC" w:rsidRPr="003A76E2">
        <w:rPr>
          <w:rFonts w:ascii="Arial" w:hAnsi="Arial" w:cs="Arial"/>
          <w:sz w:val="22"/>
          <w:szCs w:val="22"/>
          <w:lang w:val="lv-LV"/>
        </w:rPr>
        <w:t>3</w:t>
      </w:r>
      <w:r w:rsidRPr="003A76E2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3A76E2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3A76E2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3A76E2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3A76E2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3A76E2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3A76E2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3A76E2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3A76E2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3A76E2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3A76E2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3A76E2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419F88CC" w:rsidR="00977C27" w:rsidRPr="003A76E2" w:rsidRDefault="00977C27" w:rsidP="00354E9B">
      <w:pPr>
        <w:pStyle w:val="Galvene"/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3A76E2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54E9B" w:rsidRPr="003A76E2">
        <w:rPr>
          <w:rFonts w:ascii="Arial" w:hAnsi="Arial" w:cs="Arial"/>
          <w:b/>
          <w:sz w:val="22"/>
          <w:szCs w:val="22"/>
          <w:lang w:val="lv-LV"/>
        </w:rPr>
        <w:t>Atkritumu apsaimniekošana (savākšana, pārvadāšana un utilizācija)</w:t>
      </w:r>
      <w:r w:rsidRPr="003A76E2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3A76E2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3A76E2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3A76E2">
        <w:rPr>
          <w:rFonts w:ascii="Arial" w:hAnsi="Arial" w:cs="Arial"/>
          <w:sz w:val="22"/>
          <w:szCs w:val="22"/>
          <w:lang w:val="lv-LV"/>
        </w:rPr>
        <w:t xml:space="preserve"> </w:t>
      </w:r>
      <w:r w:rsidRPr="003A76E2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3A76E2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3A76E2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3A76E2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3A76E2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3A76E2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3A76E2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00A966C3" w:rsidR="00A06FFC" w:rsidRPr="003A76E2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354E9B" w:rsidRPr="003A76E2">
        <w:rPr>
          <w:rFonts w:ascii="Arial" w:hAnsi="Arial" w:cs="Arial"/>
          <w:sz w:val="22"/>
          <w:szCs w:val="22"/>
          <w:lang w:val="lv-LV"/>
        </w:rPr>
        <w:t>izpildīt pakalpojumu</w:t>
      </w:r>
      <w:r w:rsidRPr="003A76E2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3A76E2">
        <w:rPr>
          <w:rFonts w:ascii="Arial" w:hAnsi="Arial" w:cs="Arial"/>
          <w:sz w:val="22"/>
          <w:szCs w:val="22"/>
          <w:lang w:val="lv-LV"/>
        </w:rPr>
        <w:t>specifikācijā</w:t>
      </w:r>
      <w:r w:rsidRPr="003A76E2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3A76E2">
        <w:rPr>
          <w:rFonts w:ascii="Arial" w:hAnsi="Arial" w:cs="Arial"/>
          <w:sz w:val="22"/>
          <w:szCs w:val="22"/>
          <w:lang w:val="lv-LV"/>
        </w:rPr>
        <w:t>:</w:t>
      </w:r>
    </w:p>
    <w:p w14:paraId="1DF8E4EA" w14:textId="270589BF" w:rsidR="004D1466" w:rsidRPr="003A76E2" w:rsidRDefault="004D1466" w:rsidP="00354E9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1"/>
        <w:gridCol w:w="3851"/>
        <w:gridCol w:w="1217"/>
        <w:gridCol w:w="709"/>
        <w:gridCol w:w="1028"/>
        <w:gridCol w:w="1134"/>
        <w:gridCol w:w="1134"/>
      </w:tblGrid>
      <w:tr w:rsidR="00AE553B" w:rsidRPr="003A76E2" w14:paraId="0F5CD420" w14:textId="77777777" w:rsidTr="002613D2"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0E7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DC1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Atkritumu nosaukums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4CD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Atkrit</w:t>
            </w:r>
            <w:proofErr w:type="spellEnd"/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. klase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572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Mērv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D29D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Apjoms*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468" w14:textId="77777777" w:rsidR="00354E9B" w:rsidRPr="003A76E2" w:rsidRDefault="00354E9B" w:rsidP="00354E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Vienības cena, </w:t>
            </w:r>
          </w:p>
          <w:p w14:paraId="427DE984" w14:textId="053AE233" w:rsidR="00354E9B" w:rsidRPr="003A76E2" w:rsidRDefault="00354E9B" w:rsidP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8F99" w14:textId="438AF1DA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Summa, EUR (bez PVN)</w:t>
            </w:r>
          </w:p>
        </w:tc>
      </w:tr>
      <w:tr w:rsidR="00AE553B" w:rsidRPr="003A76E2" w14:paraId="05A8E496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74286B2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1.daļa: Atkritumu savākšanas adrese: Krūzes iela 47a, Rīga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E3647E9" w14:textId="0451E3D4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3718931" w14:textId="5D1EDEB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3F98C3A8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6026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797FD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Porcelāna/stikla izolatori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BF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6BD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E4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4A9E2ED" w14:textId="72CBF808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4738A98" w14:textId="2D28017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CD740FE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E716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15C7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Luminiscentās</w:t>
            </w:r>
            <w:proofErr w:type="spellEnd"/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spuldzes un citi dzīvsudrabu saturoši atkritumi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48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1E6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526" w14:textId="78158305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</w:t>
            </w:r>
            <w:r w:rsidR="00C0499A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3AB5453" w14:textId="48DE7BF4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ECEC136" w14:textId="15F73CA6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0D75E11B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48F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DB6ED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Azbests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9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170601 vai 170605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9B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76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5BAEB4F" w14:textId="0EC7EFCC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EE1F4B8" w14:textId="1A461CB4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2F3D7AA" w14:textId="77777777" w:rsidTr="002613D2">
        <w:trPr>
          <w:trHeight w:val="300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8D5D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0B4" w14:textId="0744BB9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66A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2DDDF01" w14:textId="6FA64BB8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4C0C936" w14:textId="274726C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354E9B" w:rsidRPr="003A76E2" w14:paraId="431400CF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6F9" w14:textId="63115C99" w:rsidR="00354E9B" w:rsidRPr="003A76E2" w:rsidRDefault="00354E9B" w:rsidP="00354E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1.daļu: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ED7ACFB" w14:textId="59B3C5FB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21C2CC70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16FE70E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2.daļa: Atkritumu savākšanas adrese: Jaunā stacijas iela 4, Lielvārde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CFFE677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39501A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439E571C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A1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A58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Porcelāna/stikla izolatori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851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04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93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81FF073" w14:textId="1EC87BA5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585413" w14:textId="60BF1D0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198D4A95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0D4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ED2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Azbests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4E8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170601 vai 170605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13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27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E7B0386" w14:textId="7896CC7D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0431BC6" w14:textId="0C3C18F9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219917B0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CD3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B6B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Nolietotas riepas (kravas auto)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FE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C5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01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D34A7B" w14:textId="6207F87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EDD0F1A" w14:textId="4C2FD4EA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0ACACA8C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A1B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601" w14:textId="3731B9D5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70A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637134D" w14:textId="3D813C42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9EC56CD" w14:textId="66D2BBF3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3D57C899" w14:textId="77777777" w:rsidTr="00152DD5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521B" w14:textId="066E6585" w:rsidR="00AE553B" w:rsidRPr="003A76E2" w:rsidRDefault="00AE553B" w:rsidP="00AE55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2.daļu: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2DDAD8C" w14:textId="21F187CB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25D88887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B76F6B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3.daļa: Atkritumu savākšanas adrese: Miera iela 2, Salaspils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73A53E7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3B1C4D3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60E4B35B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A6D8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87648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Porcelāna/stikla izolatori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8CF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251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473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BFC469D" w14:textId="0B41F619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2DD22D" w14:textId="5A830D42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7670492E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18DF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F0EE5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Azbests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7CF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170601 vai 170605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A44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2EA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F3AFE66" w14:textId="7C8AC889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53E69DD" w14:textId="70A08FC4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3EC453E6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5A54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A22A8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Bitumens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E3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050117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CE3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031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8C05577" w14:textId="733C3D75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59BA2E1" w14:textId="5AB83688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AB098E4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874F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2A1" w14:textId="7AC8ED46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56C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3EED5E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C91A697" w14:textId="6810E1A3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5D1E878" w14:textId="77777777" w:rsidTr="00A75AF4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A463" w14:textId="2B2E2AA0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3.daļu: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2F255C9" w14:textId="6AAD0912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7BF11C7B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0D02586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4.daļa: Atkritumu savākšanas adrese: Krustpils iela 24, k-43, Rīga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C3C6F07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57C485E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29795B84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ED2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D1B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Sērskābe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78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160506 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D0A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EEA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B7F83D" w14:textId="5A0ED0A5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DBAFC9A" w14:textId="690E9DEC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2050FE7A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99F1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4DC" w14:textId="6129BCA1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29C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4CB9B8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67DB9E3" w14:textId="70CD60A4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F5F92CC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D83" w14:textId="0E963598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lastRenderedPageBreak/>
              <w:t>Kopā par 4.daļu: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B4273C1" w14:textId="120161BA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C8E2CAE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08F743A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5.daļa: Atkritumu savākšanas adrese: Krustpils iela 24/26, Rīga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6A9FED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860C2F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5FA6AA2C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59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81F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Ogles puteklis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96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150203 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E1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4E6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C24D565" w14:textId="78A7B772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C1B555E" w14:textId="05672D0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306210D1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4E93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927" w14:textId="72C5164E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F81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46EF1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64FD9C4" w14:textId="6236116B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8275354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0077" w14:textId="2740F8D7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5.daļu: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28B151" w14:textId="4F472D75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3D4D79A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7B4B4B9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6.daļa: Atkritumu savākšanas adrese: Mangaļu prospekts 1D, Ziemeļu rajons, Rīga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861D08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14B79D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649EE1D2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96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BFC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Sērskābe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B6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160506 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C8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DB6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03B852" w14:textId="7885BE48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3C2D62B" w14:textId="5535775D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377C30F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29F4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85D" w14:textId="3208701A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FA5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5C77D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86E1DBE" w14:textId="7F311ACD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0ECE41FD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C96" w14:textId="5E2E8E66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6.daļu: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AC47BCC" w14:textId="19DE1985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0A66355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9C64A93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7.daļa: Atkritumu savākšanas adrese: "Dzelzceļa ēka 528.km", Līksnas pag., Daugavpils nov.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7279DB3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D9D3FC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71990930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63A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A73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Citas motoreļļas, pārnesumu eļļas un smēreļļas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D4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130208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BEC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904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8925B5" w14:textId="723A904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B784FC5" w14:textId="3DE1CE7C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B716F00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15D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80D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Citas emulsijas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E9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130802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D1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A0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66AD8C5" w14:textId="4BBCE32E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C0AF54C" w14:textId="1ABB4E7B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06246CBE" w14:textId="77777777" w:rsidTr="002613D2">
        <w:trPr>
          <w:trHeight w:val="14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FB8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530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921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150202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6E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C36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74B3878" w14:textId="28644656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BC2402B" w14:textId="1EBE7996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3C6C771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7490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359" w14:textId="6756D508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1C6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46DB6BE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008919B" w14:textId="0C4B2C1D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71D4F3B7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0086" w14:textId="00E89455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7.daļu: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F510260" w14:textId="3AE805FD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6C40881F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196A154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8.daļa: Atkritumu savākšanas adrese: 1.Pasažieru  iela 12, Daugavpils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B7D214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9033CCE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5948BE35" w14:textId="77777777" w:rsidTr="002613D2">
        <w:trPr>
          <w:trHeight w:val="14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C93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8AE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44E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150202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4EA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32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FF910AE" w14:textId="65C59F95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101B350" w14:textId="29EB16ED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6CE88638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F4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A7F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Luminiscentās</w:t>
            </w:r>
            <w:proofErr w:type="spellEnd"/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spuldzes un citi dzīvsudrabu saturoši atkritumi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357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C34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A6F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5F5E279" w14:textId="6987F59C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4FDEFE3" w14:textId="3ADB591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3726F76B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F95F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20F" w14:textId="04C6579F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D68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661E18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99D6B37" w14:textId="0BF59CC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7CBBE8F6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0E2" w14:textId="1F9AAC7C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8.daļu: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C3C9F66" w14:textId="688C3477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346309AD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FE52E8F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9.daļa: Atkritumu savākšanas adrese: Stacijas iela 4, Stende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381445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06E5942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27330892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D6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950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savākts šķidrums no akumulatoriem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8F1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nav zināma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F4E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9FB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7DFBC1" w14:textId="2E805ECD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33018C5" w14:textId="1FE663C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AEA0D87" w14:textId="77777777" w:rsidTr="002613D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C0F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F2F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krāsu atkritumi (bundžās, kannas)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89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nav zināma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F6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AB3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D1C8318" w14:textId="0DC19A0B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9DE297B" w14:textId="648D7CD0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64AFD874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D694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9C6" w14:textId="1A92993E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8A4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4D2888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618E902" w14:textId="22FA1D04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55718A8B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3EA" w14:textId="7996AB14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9.daļu: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06E604E" w14:textId="7037FA0B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4A8197C9" w14:textId="77777777" w:rsidTr="00AE553B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FDCDA39" w14:textId="77777777" w:rsidR="00354E9B" w:rsidRPr="003A76E2" w:rsidRDefault="00354E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10.daļa: Atkritumu savākšanas adrese: Ventspils šoseja 24, Jūrmala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6ACB3D8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7C381E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AE553B" w:rsidRPr="003A76E2" w14:paraId="5A98789C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F6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CAE" w14:textId="77777777" w:rsidR="00354E9B" w:rsidRPr="003A76E2" w:rsidRDefault="00354E9B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Nolietotas riepas (vieglas auto)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3C5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160103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E20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823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649E745" w14:textId="08D016F1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C3A1083" w14:textId="573F5AFB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14CEE904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DECD" w14:textId="77777777" w:rsidR="00354E9B" w:rsidRPr="003A76E2" w:rsidRDefault="00354E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80E" w14:textId="0B58FD3C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2CD" w14:textId="77777777" w:rsidR="00354E9B" w:rsidRPr="003A76E2" w:rsidRDefault="00354E9B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371169" w14:textId="77777777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A3D929" w14:textId="349237DC" w:rsidR="00354E9B" w:rsidRPr="003A76E2" w:rsidRDefault="00354E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E553B" w:rsidRPr="003A76E2" w14:paraId="244EBBFB" w14:textId="77777777" w:rsidTr="00AE553B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06E" w14:textId="467D8B8F" w:rsidR="00AE553B" w:rsidRPr="003A76E2" w:rsidRDefault="00AE553B" w:rsidP="00AE55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10.daļu: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503F37DB" w14:textId="6875C33E" w:rsidR="00AE553B" w:rsidRPr="003A76E2" w:rsidRDefault="00AE55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2613D2" w:rsidRPr="003A76E2" w14:paraId="7522C593" w14:textId="77777777" w:rsidTr="004759A5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88AB25F" w14:textId="630D0B72" w:rsidR="002613D2" w:rsidRPr="003A76E2" w:rsidRDefault="002613D2" w:rsidP="00475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11.daļa: Atkritumu savākšanas adrese: Krustpils iela 24 k-40, Rīga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BE9B3FE" w14:textId="77777777" w:rsidR="002613D2" w:rsidRPr="003A76E2" w:rsidRDefault="002613D2" w:rsidP="004759A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AAC3B5" w14:textId="77777777" w:rsidR="002613D2" w:rsidRPr="003A76E2" w:rsidRDefault="002613D2" w:rsidP="004759A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2613D2" w:rsidRPr="003A76E2" w14:paraId="6A43C864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BE7" w14:textId="77777777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E5D" w14:textId="08455B8B" w:rsidR="002613D2" w:rsidRPr="003A76E2" w:rsidRDefault="002613D2" w:rsidP="002613D2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Azbests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0A1" w14:textId="06477491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170601 </w:t>
            </w: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vai</w:t>
            </w:r>
            <w:proofErr w:type="spellEnd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 170605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172" w14:textId="4D6D366D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6C1" w14:textId="001E0A0D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6647A0" w14:textId="77777777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D6A9FA" w14:textId="77777777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613D2" w:rsidRPr="003A76E2" w14:paraId="177FFF59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85CF" w14:textId="77777777" w:rsidR="002613D2" w:rsidRPr="003A76E2" w:rsidRDefault="002613D2" w:rsidP="004759A5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C1A" w14:textId="522FBECE" w:rsidR="002613D2" w:rsidRPr="003A76E2" w:rsidRDefault="002613D2" w:rsidP="00475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C7C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B13F1E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3CF6C72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613D2" w:rsidRPr="003A76E2" w14:paraId="135C450D" w14:textId="77777777" w:rsidTr="004759A5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BA12" w14:textId="4D415669" w:rsidR="002613D2" w:rsidRPr="003A76E2" w:rsidRDefault="002613D2" w:rsidP="004759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</w:t>
            </w: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06B61BFC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2613D2" w:rsidRPr="003A76E2" w14:paraId="0C6AF3E1" w14:textId="77777777" w:rsidTr="004759A5">
        <w:trPr>
          <w:trHeight w:val="31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D1C788" w14:textId="76CA8BDE" w:rsidR="002613D2" w:rsidRPr="002613D2" w:rsidRDefault="002613D2" w:rsidP="00475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2613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 xml:space="preserve">12.daļa: Atkritumu savākšanas adrese: Žaņa </w:t>
            </w:r>
            <w:proofErr w:type="spellStart"/>
            <w:r w:rsidRPr="002613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Lipkes</w:t>
            </w:r>
            <w:proofErr w:type="spellEnd"/>
            <w:r w:rsidRPr="002613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 xml:space="preserve"> iela 3, Rīga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E09501" w14:textId="77777777" w:rsidR="002613D2" w:rsidRPr="003A76E2" w:rsidRDefault="002613D2" w:rsidP="004759A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1C13715" w14:textId="77777777" w:rsidR="002613D2" w:rsidRPr="003A76E2" w:rsidRDefault="002613D2" w:rsidP="004759A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2613D2" w:rsidRPr="003A76E2" w14:paraId="04D6CE98" w14:textId="77777777" w:rsidTr="002613D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AA5" w14:textId="77777777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6B6" w14:textId="56F63C30" w:rsidR="002613D2" w:rsidRPr="003A76E2" w:rsidRDefault="002613D2" w:rsidP="002613D2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Azbests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E2E" w14:textId="4351918E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170601 </w:t>
            </w:r>
            <w:proofErr w:type="spellStart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vai</w:t>
            </w:r>
            <w:proofErr w:type="spellEnd"/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 xml:space="preserve"> 170605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A11" w14:textId="4B4FC873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039" w14:textId="2AB8DC60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4D00C2">
              <w:rPr>
                <w:rFonts w:ascii="Arial" w:hAnsi="Arial" w:cs="Arial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494093" w14:textId="77777777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3F2764" w14:textId="77777777" w:rsidR="002613D2" w:rsidRPr="003A76E2" w:rsidRDefault="002613D2" w:rsidP="00261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613D2" w:rsidRPr="003A76E2" w14:paraId="2D656D30" w14:textId="77777777" w:rsidTr="002613D2">
        <w:trPr>
          <w:trHeight w:val="315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5797" w14:textId="77777777" w:rsidR="002613D2" w:rsidRPr="003A76E2" w:rsidRDefault="002613D2" w:rsidP="004759A5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lv-LV"/>
              </w:rPr>
              <w:t>Transporta pakalpojumi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270" w14:textId="60015BAB" w:rsidR="002613D2" w:rsidRPr="003A76E2" w:rsidRDefault="002613D2" w:rsidP="00475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3D1E0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093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1CB1BB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DDB33F8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613D2" w:rsidRPr="003A76E2" w14:paraId="275849C6" w14:textId="77777777" w:rsidTr="004759A5">
        <w:trPr>
          <w:trHeight w:val="30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7D7" w14:textId="40553501" w:rsidR="002613D2" w:rsidRPr="003A76E2" w:rsidRDefault="002613D2" w:rsidP="004759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Kopā par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</w:t>
            </w:r>
            <w:r w:rsidRPr="003A76E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.daļu: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423FDEEF" w14:textId="77777777" w:rsidR="002613D2" w:rsidRPr="003A76E2" w:rsidRDefault="002613D2" w:rsidP="004759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A82237B" w14:textId="03E02F2B" w:rsidR="00354E9B" w:rsidRPr="003A76E2" w:rsidRDefault="00354E9B" w:rsidP="00354E9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A7E2B82" w14:textId="3B6D980B" w:rsidR="00AE553B" w:rsidRPr="003A76E2" w:rsidRDefault="00AE553B" w:rsidP="00354E9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3A76E2">
        <w:rPr>
          <w:rFonts w:ascii="Arial" w:hAnsi="Arial" w:cs="Arial"/>
          <w:i/>
          <w:iCs/>
          <w:sz w:val="20"/>
          <w:szCs w:val="20"/>
          <w:lang w:val="lv-LV"/>
        </w:rPr>
        <w:t xml:space="preserve">* - Transporta pakalpojumos atsevišķā savākšanas vietā jābūt iekļautām visām </w:t>
      </w:r>
      <w:r w:rsidR="003A76E2" w:rsidRPr="003A76E2">
        <w:rPr>
          <w:rFonts w:ascii="Arial" w:hAnsi="Arial" w:cs="Arial"/>
          <w:i/>
          <w:iCs/>
          <w:sz w:val="20"/>
          <w:szCs w:val="20"/>
          <w:lang w:val="lv-LV"/>
        </w:rPr>
        <w:t xml:space="preserve">kopējam </w:t>
      </w:r>
      <w:r w:rsidRPr="003A76E2">
        <w:rPr>
          <w:rFonts w:ascii="Arial" w:hAnsi="Arial" w:cs="Arial"/>
          <w:i/>
          <w:iCs/>
          <w:sz w:val="20"/>
          <w:szCs w:val="20"/>
          <w:lang w:val="lv-LV"/>
        </w:rPr>
        <w:t>izmaksām, saistītām ar bīstamo atkritumu savākšanu un izvešanu uz utilizācijas punktu, ņemot vērā, ka no tas savākšanas vietas pieteikto daudzumu jāizved pilnā apjomā.</w:t>
      </w:r>
    </w:p>
    <w:p w14:paraId="7C4A57DD" w14:textId="77777777" w:rsidR="00AE553B" w:rsidRPr="003A76E2" w:rsidRDefault="00AE553B" w:rsidP="00354E9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</w:p>
    <w:p w14:paraId="49B03C7B" w14:textId="2E218B60" w:rsidR="00FF7087" w:rsidRPr="003A76E2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u</w:t>
      </w:r>
      <w:r w:rsidR="00E90F93" w:rsidRPr="003A76E2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7FFF3E9C" w:rsidR="00FF7087" w:rsidRPr="003A76E2" w:rsidRDefault="00354E9B" w:rsidP="00EE203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3A76E2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Pr="003A76E2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Pr="003A76E2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3A76E2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3A76E2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3A76E2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3A76E2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3A76E2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3A76E2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3A76E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3A76E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3A76E2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45E7" w14:textId="77777777" w:rsidR="006B2757" w:rsidRDefault="006B2757" w:rsidP="003F1C49">
      <w:r>
        <w:separator/>
      </w:r>
    </w:p>
  </w:endnote>
  <w:endnote w:type="continuationSeparator" w:id="0">
    <w:p w14:paraId="0089A14A" w14:textId="77777777" w:rsidR="006B2757" w:rsidRDefault="006B275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4A2B" w14:textId="77777777" w:rsidR="006B2757" w:rsidRDefault="006B2757" w:rsidP="003F1C49">
      <w:r>
        <w:separator/>
      </w:r>
    </w:p>
  </w:footnote>
  <w:footnote w:type="continuationSeparator" w:id="0">
    <w:p w14:paraId="7CD7EC6A" w14:textId="77777777" w:rsidR="006B2757" w:rsidRDefault="006B275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43684704">
    <w:abstractNumId w:val="5"/>
  </w:num>
  <w:num w:numId="2" w16cid:durableId="362293221">
    <w:abstractNumId w:val="12"/>
  </w:num>
  <w:num w:numId="3" w16cid:durableId="1032997785">
    <w:abstractNumId w:val="2"/>
  </w:num>
  <w:num w:numId="4" w16cid:durableId="125852984">
    <w:abstractNumId w:val="13"/>
  </w:num>
  <w:num w:numId="5" w16cid:durableId="2144612118">
    <w:abstractNumId w:val="16"/>
  </w:num>
  <w:num w:numId="6" w16cid:durableId="610823955">
    <w:abstractNumId w:val="4"/>
  </w:num>
  <w:num w:numId="7" w16cid:durableId="1267884471">
    <w:abstractNumId w:val="11"/>
  </w:num>
  <w:num w:numId="8" w16cid:durableId="686180243">
    <w:abstractNumId w:val="9"/>
  </w:num>
  <w:num w:numId="9" w16cid:durableId="1868903443">
    <w:abstractNumId w:val="7"/>
  </w:num>
  <w:num w:numId="10" w16cid:durableId="2074231941">
    <w:abstractNumId w:val="0"/>
  </w:num>
  <w:num w:numId="11" w16cid:durableId="1956450006">
    <w:abstractNumId w:val="1"/>
  </w:num>
  <w:num w:numId="12" w16cid:durableId="1445536274">
    <w:abstractNumId w:val="6"/>
  </w:num>
  <w:num w:numId="13" w16cid:durableId="1804541999">
    <w:abstractNumId w:val="3"/>
  </w:num>
  <w:num w:numId="14" w16cid:durableId="860364990">
    <w:abstractNumId w:val="15"/>
  </w:num>
  <w:num w:numId="15" w16cid:durableId="610746128">
    <w:abstractNumId w:val="10"/>
  </w:num>
  <w:num w:numId="16" w16cid:durableId="678779619">
    <w:abstractNumId w:val="8"/>
  </w:num>
  <w:num w:numId="17" w16cid:durableId="188429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91CA6"/>
    <w:rsid w:val="00093107"/>
    <w:rsid w:val="000A073E"/>
    <w:rsid w:val="000B0E99"/>
    <w:rsid w:val="000C6AD8"/>
    <w:rsid w:val="000D7BEB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1F760E"/>
    <w:rsid w:val="00200551"/>
    <w:rsid w:val="00232604"/>
    <w:rsid w:val="002413D1"/>
    <w:rsid w:val="002441DF"/>
    <w:rsid w:val="002613D2"/>
    <w:rsid w:val="00276B18"/>
    <w:rsid w:val="00286826"/>
    <w:rsid w:val="00296308"/>
    <w:rsid w:val="002A572C"/>
    <w:rsid w:val="002A79D7"/>
    <w:rsid w:val="002B77BA"/>
    <w:rsid w:val="002C0982"/>
    <w:rsid w:val="002D5B12"/>
    <w:rsid w:val="0030556E"/>
    <w:rsid w:val="003463A3"/>
    <w:rsid w:val="00347C42"/>
    <w:rsid w:val="00354E9B"/>
    <w:rsid w:val="0035616A"/>
    <w:rsid w:val="003706CE"/>
    <w:rsid w:val="003939A9"/>
    <w:rsid w:val="003A41C6"/>
    <w:rsid w:val="003A76E2"/>
    <w:rsid w:val="003C4699"/>
    <w:rsid w:val="003C5F05"/>
    <w:rsid w:val="003D1E08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93DC2"/>
    <w:rsid w:val="006B2757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94D"/>
    <w:rsid w:val="00864AC4"/>
    <w:rsid w:val="00876B0C"/>
    <w:rsid w:val="00882FF5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97552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553B"/>
    <w:rsid w:val="00AF5225"/>
    <w:rsid w:val="00AF5AE6"/>
    <w:rsid w:val="00B01C9B"/>
    <w:rsid w:val="00B11477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0499A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3535"/>
    <w:rsid w:val="00D953A9"/>
    <w:rsid w:val="00D956F9"/>
    <w:rsid w:val="00D9718B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2CEF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2898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2023-10-18T13:07:00Z</dcterms:created>
  <dcterms:modified xsi:type="dcterms:W3CDTF">2023-10-18T13:07:00Z</dcterms:modified>
</cp:coreProperties>
</file>