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C1644B" w:rsidRDefault="00503AFF" w:rsidP="00722283">
      <w:pPr>
        <w:rPr>
          <w:lang w:val="lv-LV"/>
        </w:rPr>
      </w:pPr>
      <w:r w:rsidRPr="00C1644B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C1644B" w:rsidRDefault="007719C7" w:rsidP="00722283">
      <w:pPr>
        <w:rPr>
          <w:lang w:val="lv-LV"/>
        </w:rPr>
      </w:pPr>
    </w:p>
    <w:p w14:paraId="4AE4FA0A" w14:textId="77777777" w:rsidR="00FF460F" w:rsidRPr="00C1644B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77777777" w:rsidR="00FF460F" w:rsidRPr="00C1644B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23CFC34" w14:textId="77777777" w:rsidR="00503AFF" w:rsidRPr="00C1644B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51CFD7C3" w:rsidR="00503AFF" w:rsidRPr="00C1644B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C1644B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2D953EB0" w14:textId="77777777" w:rsidR="005E3A8A" w:rsidRPr="00C1644B" w:rsidRDefault="005E3A8A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7B0C1B54" w14:textId="2AE50972" w:rsidR="00342E6C" w:rsidRPr="00C1644B" w:rsidRDefault="00342E6C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C1644B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C1644B">
        <w:rPr>
          <w:rFonts w:cs="Arial"/>
          <w:sz w:val="22"/>
          <w:szCs w:val="22"/>
          <w:lang w:val="lv-LV"/>
        </w:rPr>
        <w:t>tirgus</w:t>
      </w:r>
      <w:r w:rsidR="0075780A" w:rsidRPr="00C1644B">
        <w:rPr>
          <w:rFonts w:cs="Arial"/>
          <w:sz w:val="22"/>
          <w:szCs w:val="22"/>
          <w:lang w:val="lv-LV"/>
        </w:rPr>
        <w:t xml:space="preserve"> izpēti</w:t>
      </w:r>
      <w:r w:rsidRPr="00C1644B">
        <w:rPr>
          <w:rFonts w:cs="Arial"/>
          <w:sz w:val="22"/>
          <w:szCs w:val="22"/>
          <w:lang w:val="lv-LV"/>
        </w:rPr>
        <w:t xml:space="preserve"> </w:t>
      </w:r>
      <w:r w:rsidR="00E65868" w:rsidRPr="00C1644B">
        <w:rPr>
          <w:rFonts w:cs="Arial"/>
          <w:sz w:val="22"/>
          <w:szCs w:val="22"/>
          <w:lang w:val="lv-LV"/>
        </w:rPr>
        <w:t>“</w:t>
      </w:r>
      <w:r w:rsidR="009A61A3" w:rsidRPr="00C1644B">
        <w:rPr>
          <w:rFonts w:cs="Arial"/>
          <w:b/>
          <w:bCs/>
          <w:sz w:val="22"/>
          <w:szCs w:val="22"/>
          <w:lang w:val="lv-LV"/>
        </w:rPr>
        <w:t>Elektroenerģijas s</w:t>
      </w:r>
      <w:r w:rsidR="00E65868" w:rsidRPr="00C1644B">
        <w:rPr>
          <w:rFonts w:cs="Arial"/>
          <w:b/>
          <w:bCs/>
          <w:sz w:val="22"/>
          <w:szCs w:val="22"/>
          <w:lang w:val="lv-LV"/>
        </w:rPr>
        <w:t>kaitītāju</w:t>
      </w:r>
      <w:r w:rsidR="00532F27" w:rsidRPr="00C1644B">
        <w:rPr>
          <w:rFonts w:cs="Arial"/>
          <w:b/>
          <w:bCs/>
          <w:sz w:val="22"/>
          <w:szCs w:val="22"/>
          <w:lang w:val="lv-LV"/>
        </w:rPr>
        <w:t xml:space="preserve"> piegāde</w:t>
      </w:r>
      <w:r w:rsidR="00E65868" w:rsidRPr="00C1644B">
        <w:rPr>
          <w:rFonts w:cs="Arial"/>
          <w:sz w:val="22"/>
          <w:szCs w:val="22"/>
          <w:lang w:val="lv-LV"/>
        </w:rPr>
        <w:t>”</w:t>
      </w:r>
      <w:r w:rsidR="008074C4" w:rsidRPr="00C1644B">
        <w:rPr>
          <w:rFonts w:cs="Arial"/>
          <w:sz w:val="22"/>
          <w:szCs w:val="22"/>
          <w:lang w:val="lv-LV"/>
        </w:rPr>
        <w:t xml:space="preserve">(turpmāk – </w:t>
      </w:r>
      <w:r w:rsidR="008074C4">
        <w:rPr>
          <w:rFonts w:cs="Arial"/>
          <w:sz w:val="22"/>
          <w:szCs w:val="22"/>
          <w:lang w:val="lv-LV"/>
        </w:rPr>
        <w:t>tirgus izpēte</w:t>
      </w:r>
      <w:r w:rsidR="008074C4" w:rsidRPr="00C1644B">
        <w:rPr>
          <w:rFonts w:cs="Arial"/>
          <w:sz w:val="22"/>
          <w:szCs w:val="22"/>
          <w:lang w:val="lv-LV"/>
        </w:rPr>
        <w:t>)</w:t>
      </w:r>
      <w:r w:rsidR="008074C4">
        <w:rPr>
          <w:rFonts w:cs="Arial"/>
          <w:sz w:val="22"/>
          <w:szCs w:val="22"/>
          <w:lang w:val="lv-LV"/>
        </w:rPr>
        <w:t xml:space="preserve"> </w:t>
      </w:r>
      <w:r w:rsidRPr="00C1644B">
        <w:rPr>
          <w:rFonts w:cs="Arial"/>
          <w:sz w:val="22"/>
          <w:szCs w:val="22"/>
          <w:lang w:val="lv-LV"/>
        </w:rPr>
        <w:t>saskaņā ar zemāk pievienoto sarakstu, tādēļ aicinām Jūs, ieinteresētības gadījumā, iesniegt savu komercpiedāvājumu:</w:t>
      </w:r>
    </w:p>
    <w:p w14:paraId="0081C7B7" w14:textId="112BD781" w:rsidR="00C76B4E" w:rsidRPr="00C1644B" w:rsidRDefault="00C76B4E" w:rsidP="005E3A8A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82"/>
        <w:gridCol w:w="2704"/>
        <w:gridCol w:w="708"/>
        <w:gridCol w:w="567"/>
        <w:gridCol w:w="567"/>
        <w:gridCol w:w="709"/>
        <w:gridCol w:w="709"/>
        <w:gridCol w:w="415"/>
        <w:gridCol w:w="577"/>
        <w:gridCol w:w="1134"/>
      </w:tblGrid>
      <w:tr w:rsidR="00AB75C5" w:rsidRPr="00C1644B" w14:paraId="71CC6E79" w14:textId="77777777" w:rsidTr="00AB75C5">
        <w:trPr>
          <w:trHeight w:val="552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D17119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N. P. K.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EC8D1E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Preces nosaukums un tehniskais raksturojums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EEAB38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Mērvienība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2B256F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Daudzums piegādes vietās*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04805F6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sz w:val="18"/>
                <w:szCs w:val="18"/>
                <w:lang w:val="lv-LV" w:eastAsia="lv-LV"/>
              </w:rPr>
              <w:t>Vienības cena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19AB47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Summa</w:t>
            </w:r>
          </w:p>
        </w:tc>
      </w:tr>
      <w:tr w:rsidR="00AB75C5" w:rsidRPr="00C1644B" w14:paraId="63C26F67" w14:textId="77777777" w:rsidTr="00AB75C5">
        <w:trPr>
          <w:trHeight w:val="828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71430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8E5591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759D9A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2BF596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i/>
                <w:iCs/>
                <w:color w:val="000000"/>
                <w:lang w:val="lv-LV" w:eastAsia="lv-LV"/>
              </w:rPr>
              <w:t>EPR-1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7950C2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i/>
                <w:iCs/>
                <w:color w:val="000000"/>
                <w:lang w:val="lv-LV" w:eastAsia="lv-LV"/>
              </w:rPr>
              <w:t>EPR-2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1C1771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i/>
                <w:iCs/>
                <w:color w:val="000000"/>
                <w:lang w:val="lv-LV" w:eastAsia="lv-LV"/>
              </w:rPr>
              <w:t>EPR-3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0BC1249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Kopā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1631E5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(EUR bez PVN)*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84DA95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(EUR bez PVN)*</w:t>
            </w:r>
          </w:p>
        </w:tc>
      </w:tr>
      <w:tr w:rsidR="00AB75C5" w:rsidRPr="00C1644B" w14:paraId="1A52FF07" w14:textId="77777777" w:rsidTr="00AB75C5">
        <w:trPr>
          <w:cantSplit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8A420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FD3411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Vienfāzes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 xml:space="preserve"> elektroeneģijas skaitītāj</w:t>
            </w: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s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 xml:space="preserve"> (B klase, 230V,50HZ, t°C -40° līdz 70°, </w:t>
            </w: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5-60A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>, vientarifu (bet ar iespēju pārslēgties daudztarifu režīmā), ar bateriju, iebūvētu pulksteni, plombējamiem spaiļu un IP pārvienotāju vāciņiem, ar programmnodrošinājumu un tarifu  pārprogrammēšanas tiesībām)</w:t>
            </w:r>
            <w:r w:rsidRPr="00C1644B">
              <w:rPr>
                <w:rFonts w:eastAsia="Times New Roman" w:cs="Arial"/>
                <w:color w:val="FF0000"/>
                <w:vertAlign w:val="superscript"/>
                <w:lang w:val="lv-LV" w:eastAsia="lv-LV"/>
              </w:rPr>
              <w:t>1, 2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C36538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EBE2E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2C453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40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528748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F1CBAFC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3E299E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color w:val="FF000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7CF6498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i/>
                <w:iCs/>
                <w:color w:val="305496"/>
                <w:lang w:val="lv-LV" w:eastAsia="lv-LV"/>
              </w:rPr>
            </w:pPr>
          </w:p>
        </w:tc>
      </w:tr>
      <w:tr w:rsidR="00AB75C5" w:rsidRPr="00C1644B" w14:paraId="47EFF24A" w14:textId="77777777" w:rsidTr="00AB75C5">
        <w:trPr>
          <w:cantSplit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E60EB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2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90C1C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 xml:space="preserve">Trīsfāžu elektroeneģijas skaitītājs 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>(B klase, 3x230 (400)V, 50HZ, t°C -40° līdz 70°,</w:t>
            </w: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 xml:space="preserve"> 0,025-5A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>, vientarifu (bet ar iespēju pārslēgties daudztarifu režīmā), plombējamiem spaiļu un IP pārvienotāju vāciņiem, ar programmnodrošinājumu un tarifu pārprogrammēšanas tiesībām)</w:t>
            </w:r>
            <w:r w:rsidRPr="00C1644B">
              <w:rPr>
                <w:rFonts w:eastAsia="Times New Roman" w:cs="Arial"/>
                <w:color w:val="FF0000"/>
                <w:vertAlign w:val="superscript"/>
                <w:lang w:val="lv-LV" w:eastAsia="lv-LV"/>
              </w:rPr>
              <w:t>1, 2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426804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9D0CC4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FF6E3C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349BA8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74479A6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FB98F7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color w:val="FF0000"/>
                <w:lang w:val="lv-LV" w:eastAsia="lv-LV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27281665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i/>
                <w:iCs/>
                <w:color w:val="305496"/>
                <w:lang w:val="lv-LV" w:eastAsia="lv-LV"/>
              </w:rPr>
            </w:pPr>
          </w:p>
        </w:tc>
      </w:tr>
      <w:tr w:rsidR="00AB75C5" w:rsidRPr="00C1644B" w14:paraId="498FE5F1" w14:textId="77777777" w:rsidTr="00AB75C5">
        <w:trPr>
          <w:cantSplit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ED34D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3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6D29AF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Trīsfāžu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 xml:space="preserve"> elektroeneģijas skaitītājs (B klase, 3x230 (400)V, 50HZ, t°C -40° līdz 70°, </w:t>
            </w: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5-100A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 xml:space="preserve">, </w:t>
            </w: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vientarifu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 xml:space="preserve"> (bet ar iespēju pārslēgties </w:t>
            </w: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daudztarifu režīmā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>), plombējamiem spaiļu un IP pārvienotāju vāciņiem, ar programmnodrošinājumu un tarifu pārprogrammēšanas tiesībām)</w:t>
            </w:r>
            <w:r w:rsidRPr="00C1644B">
              <w:rPr>
                <w:rFonts w:eastAsia="Times New Roman" w:cs="Arial"/>
                <w:b/>
                <w:bCs/>
                <w:color w:val="FF0000"/>
                <w:vertAlign w:val="superscript"/>
                <w:lang w:val="lv-LV" w:eastAsia="lv-LV"/>
              </w:rPr>
              <w:t>1, 2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E4E9F4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00523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020533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8E6E89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A336506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12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B75632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color w:val="FF0000"/>
                <w:lang w:val="lv-LV" w:eastAsia="lv-LV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54728CC9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i/>
                <w:iCs/>
                <w:color w:val="305496"/>
                <w:lang w:val="lv-LV" w:eastAsia="lv-LV"/>
              </w:rPr>
            </w:pPr>
          </w:p>
        </w:tc>
      </w:tr>
      <w:tr w:rsidR="00AB75C5" w:rsidRPr="00C1644B" w14:paraId="2009B279" w14:textId="77777777" w:rsidTr="00AB75C5">
        <w:trPr>
          <w:cantSplit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5301C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4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C368AF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 xml:space="preserve">Trīsfāžu 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 xml:space="preserve">elektroeneģijas skaitītājs (B klase, 3x23(400)V, 50Hz, t°C -40° līdz 70°, </w:t>
            </w: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līdz 120A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 xml:space="preserve">, </w:t>
            </w: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vientarifu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>, ar bateriju, iebūvētu pulksteni, plombējamiem spaiļu un IP pārvienotāju vāciņiem, ar programmnodrošinājumu un tarifu pārprogrammēšanas tiesībām)</w:t>
            </w:r>
            <w:r w:rsidRPr="00C1644B">
              <w:rPr>
                <w:rFonts w:eastAsia="Times New Roman" w:cs="Arial"/>
                <w:b/>
                <w:bCs/>
                <w:color w:val="FF0000"/>
                <w:vertAlign w:val="superscript"/>
                <w:lang w:val="lv-LV" w:eastAsia="lv-LV"/>
              </w:rPr>
              <w:t>1, 2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93B220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256A71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12B59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98B4F2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496289EC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1ECB0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color w:val="FF0000"/>
                <w:lang w:val="lv-LV" w:eastAsia="lv-LV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35F2007E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i/>
                <w:iCs/>
                <w:color w:val="305496"/>
                <w:lang w:val="lv-LV" w:eastAsia="lv-LV"/>
              </w:rPr>
            </w:pPr>
          </w:p>
        </w:tc>
      </w:tr>
      <w:tr w:rsidR="00AB75C5" w:rsidRPr="00C1644B" w14:paraId="77DD1D76" w14:textId="77777777" w:rsidTr="00AB75C5">
        <w:trPr>
          <w:cantSplit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0977C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lastRenderedPageBreak/>
              <w:t>5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904D7C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 xml:space="preserve">Trīsfāžu 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 xml:space="preserve">elektroenerģijas skaitītājs </w:t>
            </w: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 xml:space="preserve">1-6A 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>(klase C, 3x230/400V, 50Hz,  t˚C -40˚ līdz 70˚ un ar bateriju, +A, -A aktīvas un +R, -R reaktīvas enerģija skaitļu; ar strāvas, sprieguma koeficienta pārprogrammēšanas; daudztarifu ar iebūvētu pulksteni, ar plombējamiem spaiļu un IP pārvienotāju vāciņiem, ar tarifu  (T1,T2,T3 un T4) programmēšanas tiesībām, ar programmnodrošinājumu (ar pirmreizējo verifikāciju)</w:t>
            </w:r>
            <w:r w:rsidRPr="00C1644B">
              <w:rPr>
                <w:rFonts w:eastAsia="Times New Roman" w:cs="Arial"/>
                <w:color w:val="FF0000"/>
                <w:vertAlign w:val="superscript"/>
                <w:lang w:val="lv-LV" w:eastAsia="lv-LV"/>
              </w:rPr>
              <w:t>1, 2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F954ED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Cs w:val="2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szCs w:val="20"/>
                <w:lang w:val="lv-LV" w:eastAsia="lv-LV"/>
              </w:rPr>
              <w:t>gab.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3C01DC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200ED8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E6379B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7F0058F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120707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color w:val="FF0000"/>
                <w:lang w:val="lv-LV" w:eastAsia="lv-LV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44A48DB4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i/>
                <w:iCs/>
                <w:color w:val="305496"/>
                <w:lang w:val="lv-LV" w:eastAsia="lv-LV"/>
              </w:rPr>
            </w:pPr>
          </w:p>
        </w:tc>
      </w:tr>
      <w:tr w:rsidR="00AB75C5" w:rsidRPr="00C1644B" w14:paraId="4A8404BA" w14:textId="77777777" w:rsidTr="00AB75C5">
        <w:trPr>
          <w:cantSplit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0275B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6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B2D90C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 xml:space="preserve">Trīsfāžu 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>elektroenerģijas skaitītājs (klase C,  (3x57,7/100 (5A)), 50Hz,  t˚C -40˚ līdz 70˚ un ar bateriju, +A, -A aktīvas un +R, -R reaktīvas enerģija skaitļu; ar strāvas, sprieguma koeficienta pārprogrammēšanas; daudztarifu ar iebūvētu pulksteni, ar plombējamiem spaiļu un IP komutācijas vāciņiem, ar tarifu  (T1,T2,T3 un T4) programmēšanas tiesībām, ar programmnodrošinājumu (ar pirmreizējo verifikāciju)</w:t>
            </w:r>
            <w:r w:rsidRPr="00C1644B">
              <w:rPr>
                <w:rFonts w:eastAsia="Times New Roman" w:cs="Arial"/>
                <w:color w:val="FF0000"/>
                <w:vertAlign w:val="superscript"/>
                <w:lang w:val="lv-LV" w:eastAsia="lv-LV"/>
              </w:rPr>
              <w:t>1, 2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3D9F77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gab.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1B66AF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3F01DE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3787A0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60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05AE734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60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64AD2D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color w:val="FF0000"/>
                <w:lang w:val="lv-LV" w:eastAsia="lv-LV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335477C8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i/>
                <w:iCs/>
                <w:color w:val="305496"/>
                <w:lang w:val="lv-LV" w:eastAsia="lv-LV"/>
              </w:rPr>
            </w:pPr>
          </w:p>
        </w:tc>
      </w:tr>
      <w:tr w:rsidR="00AB75C5" w:rsidRPr="00C1644B" w14:paraId="22A18A5E" w14:textId="77777777" w:rsidTr="00AB75C5">
        <w:trPr>
          <w:cantSplit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641F1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7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0C8361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Trīsfāžu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 xml:space="preserve"> elektroenerģijas skaitītājs, uzstādāms uz DIN sliedes (B klase, </w:t>
            </w: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0,25*5(100)A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>, 3*230/400V, 50Hz)</w:t>
            </w:r>
            <w:r w:rsidRPr="00C1644B">
              <w:rPr>
                <w:rFonts w:eastAsia="Times New Roman" w:cs="Arial"/>
                <w:b/>
                <w:bCs/>
                <w:color w:val="FF0000"/>
                <w:vertAlign w:val="superscript"/>
                <w:lang w:val="lv-LV" w:eastAsia="lv-LV"/>
              </w:rPr>
              <w:t>1, 2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190F5C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gab.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6EFE48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1E0366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752178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291C207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20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CD3A52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color w:val="FF0000"/>
                <w:lang w:val="lv-LV" w:eastAsia="lv-LV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584322F9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i/>
                <w:iCs/>
                <w:color w:val="305496"/>
                <w:lang w:val="lv-LV" w:eastAsia="lv-LV"/>
              </w:rPr>
            </w:pPr>
          </w:p>
        </w:tc>
      </w:tr>
      <w:tr w:rsidR="00AB75C5" w:rsidRPr="00C1644B" w14:paraId="29D5DB82" w14:textId="77777777" w:rsidTr="00AB75C5">
        <w:trPr>
          <w:cantSplit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5FECF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8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4D09B0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Vienfāzes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 xml:space="preserve"> elektroenerģijas skaitītājs 1F </w:t>
            </w: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 xml:space="preserve">1x5(60A) 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>ar LCD tipa displeju, uzstādāms uz DIN sliedes</w:t>
            </w: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 xml:space="preserve"> 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 xml:space="preserve">(klase B, 230V, 50Hz,  t˚C -25˚ līdz 55˚, 0,25-5A, I max. 100A, vientarifu, ar pirmreizējo verifikāciju) </w:t>
            </w:r>
            <w:r w:rsidRPr="00C1644B">
              <w:rPr>
                <w:rFonts w:eastAsia="Times New Roman" w:cs="Arial"/>
                <w:color w:val="FF0000"/>
                <w:vertAlign w:val="superscript"/>
                <w:lang w:val="lv-LV" w:eastAsia="lv-LV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799182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gab.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D009A2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0E6ACA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23802F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1AF9326A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15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FCDD8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color w:val="FF0000"/>
                <w:lang w:val="lv-LV" w:eastAsia="lv-LV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2A58C04C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i/>
                <w:iCs/>
                <w:color w:val="305496"/>
                <w:lang w:val="lv-LV" w:eastAsia="lv-LV"/>
              </w:rPr>
            </w:pPr>
          </w:p>
        </w:tc>
      </w:tr>
      <w:tr w:rsidR="00AB75C5" w:rsidRPr="00C1644B" w14:paraId="7867E838" w14:textId="77777777" w:rsidTr="00AB75C5">
        <w:trPr>
          <w:cantSplit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2D10A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9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2A12B2" w14:textId="61AA61A3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Trīsfāžu elektroeneģijas skait</w:t>
            </w:r>
            <w:r w:rsidR="008074C4">
              <w:rPr>
                <w:rFonts w:eastAsia="Times New Roman" w:cs="Arial"/>
                <w:color w:val="000000"/>
                <w:lang w:val="lv-LV" w:eastAsia="lv-LV"/>
              </w:rPr>
              <w:t>ī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 xml:space="preserve">tājs G3B.147/ 230.F47.B2.P4.C270.A3.L1 (transf. connection, A-, A+, R-,R+, CL, RS485, 3 tariffs, 3 phase, 3x57.7/100..230/400V, 5(10)A) </w:t>
            </w:r>
            <w:r w:rsidRPr="00C1644B">
              <w:rPr>
                <w:rFonts w:eastAsia="Times New Roman" w:cs="Arial"/>
                <w:color w:val="FF0000"/>
                <w:vertAlign w:val="superscript"/>
                <w:lang w:val="lv-LV" w:eastAsia="lv-LV"/>
              </w:rPr>
              <w:t>1, 2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1C1AFE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gab.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44646E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DA7DB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AD3282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237776AD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108F55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color w:val="FF0000"/>
                <w:lang w:val="lv-LV" w:eastAsia="lv-LV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4B578A78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i/>
                <w:iCs/>
                <w:color w:val="305496"/>
                <w:lang w:val="lv-LV" w:eastAsia="lv-LV"/>
              </w:rPr>
            </w:pPr>
          </w:p>
        </w:tc>
      </w:tr>
      <w:tr w:rsidR="00AB75C5" w:rsidRPr="00C1644B" w14:paraId="79E4107F" w14:textId="77777777" w:rsidTr="00AB75C5">
        <w:trPr>
          <w:cantSplit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4A940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sz w:val="18"/>
                <w:szCs w:val="18"/>
                <w:lang w:val="lv-LV" w:eastAsia="lv-LV"/>
              </w:rPr>
              <w:t>10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1DCE4B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 xml:space="preserve">Elektroenerģijas skaitītājs GAMA 300 G3B.546.240.F47.B2.P4.C341.A3.L1 3x127/230 </w:t>
            </w:r>
            <w:r w:rsidRPr="00C1644B">
              <w:rPr>
                <w:rFonts w:eastAsia="Times New Roman" w:cs="Arial"/>
                <w:color w:val="FF0000"/>
                <w:vertAlign w:val="superscript"/>
                <w:lang w:val="lv-LV" w:eastAsia="lv-LV"/>
              </w:rPr>
              <w:t>1, 2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800F79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gab.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E9B73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FE8CC8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6B8DD4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62CC833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08F942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color w:val="FF0000"/>
                <w:lang w:val="lv-LV" w:eastAsia="lv-LV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164F43AD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i/>
                <w:iCs/>
                <w:color w:val="305496"/>
                <w:lang w:val="lv-LV" w:eastAsia="lv-LV"/>
              </w:rPr>
            </w:pPr>
          </w:p>
        </w:tc>
      </w:tr>
      <w:tr w:rsidR="00AB75C5" w:rsidRPr="00C1644B" w14:paraId="114E228B" w14:textId="77777777" w:rsidTr="00AB75C5">
        <w:trPr>
          <w:cantSplit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9D15F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sz w:val="18"/>
                <w:szCs w:val="18"/>
                <w:lang w:val="lv-LV" w:eastAsia="lv-LV"/>
              </w:rPr>
              <w:t>11</w:t>
            </w:r>
          </w:p>
        </w:tc>
        <w:tc>
          <w:tcPr>
            <w:tcW w:w="36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C1FF75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 xml:space="preserve">Elektroenerģijas skaitītājs GAMA 300 G3A.546.210.F34.B2.P2.C241 3x57,7/100 </w:t>
            </w:r>
            <w:r w:rsidRPr="00C1644B">
              <w:rPr>
                <w:rFonts w:eastAsia="Times New Roman" w:cs="Arial"/>
                <w:color w:val="FF0000"/>
                <w:vertAlign w:val="superscript"/>
                <w:lang w:val="lv-LV" w:eastAsia="lv-LV"/>
              </w:rPr>
              <w:t>1, 2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71EC17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gab.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7B1E39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4351D0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681FE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3CD59031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097400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color w:val="FF0000"/>
                <w:lang w:val="lv-LV" w:eastAsia="lv-LV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DB419C9" w14:textId="77777777" w:rsidR="00AB75C5" w:rsidRPr="00C1644B" w:rsidRDefault="00AB75C5" w:rsidP="00AB75C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i/>
                <w:iCs/>
                <w:color w:val="305496"/>
                <w:lang w:val="lv-LV" w:eastAsia="lv-LV"/>
              </w:rPr>
            </w:pPr>
          </w:p>
        </w:tc>
      </w:tr>
      <w:tr w:rsidR="00AB75C5" w:rsidRPr="00C1644B" w14:paraId="7221D8EF" w14:textId="77777777" w:rsidTr="00AB75C5">
        <w:trPr>
          <w:cantSplit/>
        </w:trPr>
        <w:tc>
          <w:tcPr>
            <w:tcW w:w="850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FDEE5" w14:textId="77777777" w:rsidR="00AB75C5" w:rsidRPr="00C1644B" w:rsidRDefault="00AB75C5" w:rsidP="00AB75C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2"/>
                <w:szCs w:val="22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sz w:val="22"/>
                <w:szCs w:val="22"/>
                <w:lang w:val="lv-LV" w:eastAsia="lv-LV"/>
              </w:rPr>
              <w:t>KOPĀ: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367046F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2"/>
                <w:szCs w:val="22"/>
                <w:lang w:val="lv-LV" w:eastAsia="lv-LV"/>
              </w:rPr>
            </w:pPr>
          </w:p>
        </w:tc>
      </w:tr>
      <w:tr w:rsidR="00AB75C5" w:rsidRPr="00C1644B" w14:paraId="78DAE5BE" w14:textId="77777777" w:rsidTr="00DA6164">
        <w:trPr>
          <w:cantSplit/>
          <w:trHeight w:val="415"/>
        </w:trPr>
        <w:tc>
          <w:tcPr>
            <w:tcW w:w="96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C3506" w14:textId="77777777" w:rsidR="00AB75C5" w:rsidRPr="00C1644B" w:rsidRDefault="00AB75C5" w:rsidP="00AB75C5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b/>
                <w:bCs/>
                <w:color w:val="000000"/>
                <w:lang w:val="lv-LV" w:eastAsia="lv-LV"/>
              </w:rPr>
              <w:t>OBLIGĀTĀS PRASĪBAS:</w:t>
            </w:r>
          </w:p>
        </w:tc>
      </w:tr>
      <w:tr w:rsidR="00DA6164" w:rsidRPr="008A7812" w14:paraId="2DE2DEA3" w14:textId="77777777" w:rsidTr="00DA6164">
        <w:trPr>
          <w:cantSplit/>
        </w:trPr>
        <w:tc>
          <w:tcPr>
            <w:tcW w:w="15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AC9D91" w14:textId="53CB1E77" w:rsidR="00DA6164" w:rsidRPr="00C1644B" w:rsidRDefault="00DA6164" w:rsidP="00DA6164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S</w:t>
            </w:r>
            <w:r w:rsidRPr="00C1644B">
              <w:rPr>
                <w:rFonts w:eastAsia="Times New Roman" w:cs="Arial"/>
                <w:i/>
                <w:iCs/>
                <w:color w:val="000000"/>
                <w:lang w:val="lv-LV" w:eastAsia="lv-LV"/>
              </w:rPr>
              <w:t xml:space="preserve">katīt obligātās prasības attiecināmību katrai pozīcijai: </w:t>
            </w:r>
            <w:r w:rsidRPr="00C1644B">
              <w:rPr>
                <w:rFonts w:eastAsia="Times New Roman" w:cs="Arial"/>
                <w:i/>
                <w:iCs/>
                <w:color w:val="FF0000"/>
                <w:vertAlign w:val="superscript"/>
                <w:lang w:val="lv-LV" w:eastAsia="lv-LV"/>
              </w:rPr>
              <w:t xml:space="preserve"> 1, 2</w:t>
            </w:r>
            <w:r w:rsidRPr="00C1644B">
              <w:rPr>
                <w:rFonts w:eastAsia="Times New Roman" w:cs="Arial"/>
                <w:i/>
                <w:iCs/>
                <w:color w:val="FF0000"/>
                <w:lang w:val="lv-LV" w:eastAsia="lv-LV"/>
              </w:rPr>
              <w:t xml:space="preserve"> vai </w:t>
            </w:r>
            <w:r w:rsidRPr="00C1644B">
              <w:rPr>
                <w:rFonts w:eastAsia="Times New Roman" w:cs="Arial"/>
                <w:i/>
                <w:iCs/>
                <w:color w:val="FF0000"/>
                <w:vertAlign w:val="superscript"/>
                <w:lang w:val="lv-LV" w:eastAsia="lv-LV"/>
              </w:rPr>
              <w:t>1</w:t>
            </w:r>
          </w:p>
        </w:tc>
        <w:tc>
          <w:tcPr>
            <w:tcW w:w="809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257ABF" w14:textId="77777777" w:rsidR="00DA6164" w:rsidRPr="00C1644B" w:rsidRDefault="00DA6164" w:rsidP="00DA6164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FF0000"/>
                <w:lang w:val="lv-LV" w:eastAsia="lv-LV"/>
              </w:rPr>
              <w:t xml:space="preserve">1. 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>Precei ir uzlikta nacionālā pirmreizējā vai Eiropas Ekonomiskās kopienas pirmreizējās verificēšanas atzīme, CE marķējums atbilstoši Ministru kabineta 2016.gada 12.aprīļa noteikumiem Nr.212 “Mērīšanas līdzekļu metroloģiskās prasības un to metroloģiskās kontroles kārtība”;</w:t>
            </w:r>
          </w:p>
        </w:tc>
      </w:tr>
      <w:tr w:rsidR="00DA6164" w:rsidRPr="00C1644B" w14:paraId="4FBF5B90" w14:textId="3402C9F9" w:rsidTr="00DA6164">
        <w:trPr>
          <w:cantSplit/>
        </w:trPr>
        <w:tc>
          <w:tcPr>
            <w:tcW w:w="15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83CBC8" w14:textId="77777777" w:rsidR="00DA6164" w:rsidRPr="00C1644B" w:rsidRDefault="00DA6164" w:rsidP="00DA6164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lang w:val="lv-LV" w:eastAsia="lv-LV"/>
              </w:rPr>
            </w:pPr>
          </w:p>
        </w:tc>
        <w:tc>
          <w:tcPr>
            <w:tcW w:w="6379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6640" w14:textId="46C4B543" w:rsidR="00DA6164" w:rsidRPr="00C1644B" w:rsidRDefault="00DA6164" w:rsidP="00DA6164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FF0000"/>
                <w:lang w:val="lv-LV" w:eastAsia="lv-LV"/>
              </w:rPr>
              <w:t xml:space="preserve">2. </w:t>
            </w:r>
            <w:r w:rsidRPr="00C1644B">
              <w:rPr>
                <w:rFonts w:eastAsia="Times New Roman" w:cs="Arial"/>
                <w:color w:val="000000"/>
                <w:lang w:val="lv-LV" w:eastAsia="lv-LV"/>
              </w:rPr>
              <w:t xml:space="preserve">Skaitītāja korpusam jābūt marķētam ar “Latvijas dzelzceļš” logo: </w:t>
            </w:r>
            <w:r w:rsidRPr="00C1644B">
              <w:rPr>
                <w:rFonts w:eastAsia="Times New Roman" w:cs="Arial"/>
                <w:b/>
                <w:bCs/>
                <w:color w:val="000000"/>
                <w:sz w:val="22"/>
                <w:szCs w:val="28"/>
                <w:lang w:val="lv-LV" w:eastAsia="lv-LV"/>
              </w:rPr>
              <w:sym w:font="Symbol" w:char="F0AE"/>
            </w:r>
          </w:p>
          <w:p w14:paraId="222DBD2E" w14:textId="50550A4E" w:rsidR="00DA6164" w:rsidRPr="00C1644B" w:rsidRDefault="00DA6164" w:rsidP="00DA6164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eastAsia="Times New Roman" w:cs="Arial"/>
                <w:color w:val="000000"/>
                <w:lang w:val="lv-LV" w:eastAsia="lv-LV"/>
              </w:rPr>
              <w:t>un jābūt atzīmei “VAS “Latvijas dzelzceļš” īpašums”.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B330A" w14:textId="03C813A5" w:rsidR="00DA6164" w:rsidRPr="00C1644B" w:rsidRDefault="00DA6164" w:rsidP="00DA6164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lang w:val="lv-LV" w:eastAsia="lv-LV"/>
              </w:rPr>
            </w:pPr>
            <w:r w:rsidRPr="00C1644B">
              <w:rPr>
                <w:rFonts w:ascii="Times New Roman" w:hAnsi="Times New Roman"/>
                <w:noProof/>
                <w:sz w:val="24"/>
                <w:lang w:val="lv-LV"/>
              </w:rPr>
              <w:drawing>
                <wp:inline distT="0" distB="0" distL="0" distR="0" wp14:anchorId="7213F52D" wp14:editId="02B1A8A0">
                  <wp:extent cx="994410" cy="4152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287295" w14:textId="06157560" w:rsidR="00AB75C5" w:rsidRPr="00C1644B" w:rsidRDefault="00AB75C5" w:rsidP="00AB75C5">
      <w:pPr>
        <w:spacing w:before="0" w:line="240" w:lineRule="auto"/>
        <w:rPr>
          <w:rFonts w:cs="Arial"/>
          <w:lang w:val="lv-LV"/>
        </w:rPr>
      </w:pPr>
    </w:p>
    <w:p w14:paraId="59C0C513" w14:textId="77777777" w:rsidR="00AB75C5" w:rsidRPr="00C1644B" w:rsidRDefault="00AB75C5" w:rsidP="00AB75C5">
      <w:pPr>
        <w:spacing w:before="0" w:line="240" w:lineRule="auto"/>
        <w:jc w:val="left"/>
        <w:rPr>
          <w:rFonts w:cs="Arial"/>
          <w:b/>
          <w:bCs/>
          <w:sz w:val="22"/>
          <w:szCs w:val="28"/>
          <w:u w:val="single"/>
          <w:lang w:val="lv-LV"/>
        </w:rPr>
      </w:pPr>
      <w:r w:rsidRPr="00C1644B">
        <w:rPr>
          <w:rFonts w:cs="Arial"/>
          <w:b/>
          <w:bCs/>
          <w:sz w:val="22"/>
          <w:szCs w:val="28"/>
          <w:u w:val="single"/>
          <w:lang w:val="lv-LV"/>
        </w:rPr>
        <w:t>*Piegādes vieta: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619"/>
      </w:tblGrid>
      <w:tr w:rsidR="00AB75C5" w:rsidRPr="00C1644B" w14:paraId="383BEC81" w14:textId="77777777" w:rsidTr="000E64F3">
        <w:tc>
          <w:tcPr>
            <w:tcW w:w="1101" w:type="dxa"/>
          </w:tcPr>
          <w:p w14:paraId="09DDD8A5" w14:textId="77777777" w:rsidR="00AB75C5" w:rsidRPr="00C1644B" w:rsidRDefault="00AB75C5" w:rsidP="00AB75C5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8"/>
                <w:lang w:val="lv-LV"/>
              </w:rPr>
            </w:pPr>
            <w:bookmarkStart w:id="0" w:name="_Hlk98333753"/>
            <w:r w:rsidRPr="00C1644B">
              <w:rPr>
                <w:rFonts w:ascii="Arial" w:hAnsi="Arial" w:cs="Arial"/>
                <w:b/>
                <w:bCs/>
                <w:sz w:val="22"/>
                <w:szCs w:val="28"/>
                <w:lang w:val="lv-LV"/>
              </w:rPr>
              <w:t>EPR-1:</w:t>
            </w:r>
          </w:p>
        </w:tc>
        <w:tc>
          <w:tcPr>
            <w:tcW w:w="7619" w:type="dxa"/>
          </w:tcPr>
          <w:p w14:paraId="1ECCF767" w14:textId="77777777" w:rsidR="00AB75C5" w:rsidRPr="00C1644B" w:rsidRDefault="00AB75C5" w:rsidP="00AB75C5">
            <w:pPr>
              <w:spacing w:before="0" w:line="240" w:lineRule="auto"/>
              <w:rPr>
                <w:rFonts w:ascii="Arial" w:hAnsi="Arial" w:cs="Arial"/>
                <w:sz w:val="22"/>
                <w:szCs w:val="28"/>
                <w:lang w:val="lv-LV"/>
              </w:rPr>
            </w:pPr>
            <w:r w:rsidRPr="00C1644B">
              <w:rPr>
                <w:rFonts w:ascii="Arial" w:hAnsi="Arial" w:cs="Arial"/>
                <w:sz w:val="22"/>
                <w:szCs w:val="28"/>
                <w:lang w:val="lv-LV"/>
              </w:rPr>
              <w:t>Elektrotehniskās pārvaldes Rīgas reģionālais centrs Krūzes iela 47a, Rīgā;</w:t>
            </w:r>
          </w:p>
        </w:tc>
      </w:tr>
      <w:bookmarkEnd w:id="0"/>
      <w:tr w:rsidR="00AB75C5" w:rsidRPr="008A7812" w14:paraId="5793909C" w14:textId="77777777" w:rsidTr="000E64F3">
        <w:tc>
          <w:tcPr>
            <w:tcW w:w="1101" w:type="dxa"/>
          </w:tcPr>
          <w:p w14:paraId="6DECF2A4" w14:textId="77777777" w:rsidR="00AB75C5" w:rsidRPr="00C1644B" w:rsidRDefault="00AB75C5" w:rsidP="00AB75C5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8"/>
                <w:lang w:val="lv-LV"/>
              </w:rPr>
            </w:pPr>
            <w:r w:rsidRPr="00C1644B">
              <w:rPr>
                <w:rFonts w:ascii="Arial" w:hAnsi="Arial" w:cs="Arial"/>
                <w:b/>
                <w:bCs/>
                <w:sz w:val="22"/>
                <w:szCs w:val="28"/>
                <w:lang w:val="lv-LV"/>
              </w:rPr>
              <w:t>EPR-2:</w:t>
            </w:r>
          </w:p>
        </w:tc>
        <w:tc>
          <w:tcPr>
            <w:tcW w:w="7619" w:type="dxa"/>
          </w:tcPr>
          <w:p w14:paraId="36257F5B" w14:textId="77777777" w:rsidR="00AB75C5" w:rsidRPr="00C1644B" w:rsidRDefault="00AB75C5" w:rsidP="00AB75C5">
            <w:pPr>
              <w:spacing w:before="0" w:line="240" w:lineRule="auto"/>
              <w:rPr>
                <w:rFonts w:ascii="Arial" w:hAnsi="Arial" w:cs="Arial"/>
                <w:sz w:val="22"/>
                <w:szCs w:val="28"/>
                <w:lang w:val="lv-LV"/>
              </w:rPr>
            </w:pPr>
            <w:r w:rsidRPr="00C1644B">
              <w:rPr>
                <w:rFonts w:ascii="Arial" w:hAnsi="Arial" w:cs="Arial"/>
                <w:sz w:val="22"/>
                <w:szCs w:val="28"/>
                <w:lang w:val="lv-LV"/>
              </w:rPr>
              <w:t>Elektrotehniskās pārvaldes Daugavpils reģionālais centrs, 1.Pasažieru ielā 12, Daugavpilī;</w:t>
            </w:r>
          </w:p>
        </w:tc>
      </w:tr>
      <w:tr w:rsidR="00AB75C5" w:rsidRPr="00C1644B" w14:paraId="52BD21BA" w14:textId="77777777" w:rsidTr="000E64F3">
        <w:tc>
          <w:tcPr>
            <w:tcW w:w="1101" w:type="dxa"/>
          </w:tcPr>
          <w:p w14:paraId="531FA69C" w14:textId="77777777" w:rsidR="00AB75C5" w:rsidRPr="00C1644B" w:rsidRDefault="00AB75C5" w:rsidP="00AB75C5">
            <w:pPr>
              <w:spacing w:before="0" w:line="240" w:lineRule="auto"/>
              <w:jc w:val="right"/>
              <w:rPr>
                <w:rFonts w:ascii="Arial" w:hAnsi="Arial" w:cs="Arial"/>
                <w:b/>
                <w:bCs/>
                <w:sz w:val="22"/>
                <w:szCs w:val="28"/>
                <w:lang w:val="lv-LV"/>
              </w:rPr>
            </w:pPr>
            <w:r w:rsidRPr="00C1644B">
              <w:rPr>
                <w:rFonts w:ascii="Arial" w:hAnsi="Arial" w:cs="Arial"/>
                <w:b/>
                <w:bCs/>
                <w:sz w:val="22"/>
                <w:szCs w:val="28"/>
                <w:lang w:val="lv-LV"/>
              </w:rPr>
              <w:t>EPR-3:</w:t>
            </w:r>
          </w:p>
        </w:tc>
        <w:tc>
          <w:tcPr>
            <w:tcW w:w="7619" w:type="dxa"/>
          </w:tcPr>
          <w:p w14:paraId="004784C5" w14:textId="77777777" w:rsidR="00AB75C5" w:rsidRPr="00C1644B" w:rsidRDefault="00AB75C5" w:rsidP="00AB75C5">
            <w:pPr>
              <w:spacing w:before="0" w:line="240" w:lineRule="auto"/>
              <w:rPr>
                <w:rFonts w:ascii="Arial" w:hAnsi="Arial" w:cs="Arial"/>
                <w:sz w:val="22"/>
                <w:szCs w:val="28"/>
                <w:lang w:val="lv-LV"/>
              </w:rPr>
            </w:pPr>
            <w:r w:rsidRPr="00C1644B">
              <w:rPr>
                <w:rFonts w:ascii="Arial" w:hAnsi="Arial" w:cs="Arial"/>
                <w:sz w:val="22"/>
                <w:szCs w:val="28"/>
                <w:lang w:val="lv-LV"/>
              </w:rPr>
              <w:t>Elektrotehniskās pārvaldes Jelgavas reģionālais centrs, Prohorova iela 12b, Jelgavā.</w:t>
            </w:r>
          </w:p>
        </w:tc>
      </w:tr>
    </w:tbl>
    <w:p w14:paraId="6E1733E2" w14:textId="23E5D64B" w:rsidR="00532F27" w:rsidRPr="00C1644B" w:rsidRDefault="00532F27" w:rsidP="00532F27">
      <w:pPr>
        <w:spacing w:line="240" w:lineRule="auto"/>
        <w:rPr>
          <w:rFonts w:cs="Arial"/>
          <w:sz w:val="22"/>
          <w:szCs w:val="22"/>
          <w:u w:val="single"/>
          <w:lang w:val="lv-LV"/>
        </w:rPr>
      </w:pPr>
      <w:bookmarkStart w:id="1" w:name="_Hlk118702521"/>
      <w:r w:rsidRPr="00C1644B">
        <w:rPr>
          <w:rFonts w:cs="Arial"/>
          <w:sz w:val="22"/>
          <w:szCs w:val="22"/>
          <w:u w:val="single"/>
          <w:lang w:val="lv-LV"/>
        </w:rPr>
        <w:lastRenderedPageBreak/>
        <w:t xml:space="preserve">Piedāvājumu var iesniegt gan par visu </w:t>
      </w:r>
      <w:r w:rsidR="008074C4">
        <w:rPr>
          <w:rFonts w:cs="Arial"/>
          <w:sz w:val="22"/>
          <w:szCs w:val="22"/>
          <w:u w:val="single"/>
          <w:lang w:val="lv-LV"/>
        </w:rPr>
        <w:t>tirgus izpētes</w:t>
      </w:r>
      <w:r w:rsidRPr="00C1644B">
        <w:rPr>
          <w:rFonts w:cs="Arial"/>
          <w:sz w:val="22"/>
          <w:szCs w:val="22"/>
          <w:u w:val="single"/>
          <w:lang w:val="lv-LV"/>
        </w:rPr>
        <w:t xml:space="preserve"> priekšmetu kopumā, gan par atsevišķām tā pozīcijām. Lūdzu norādīt, ja komercpiedāvājums ir spēkā piedāvātajām </w:t>
      </w:r>
      <w:r w:rsidR="008074C4">
        <w:rPr>
          <w:rFonts w:cs="Arial"/>
          <w:sz w:val="22"/>
          <w:szCs w:val="22"/>
          <w:u w:val="single"/>
          <w:lang w:val="lv-LV"/>
        </w:rPr>
        <w:t xml:space="preserve">tirgus izpētes </w:t>
      </w:r>
      <w:r w:rsidRPr="00C1644B">
        <w:rPr>
          <w:rFonts w:cs="Arial"/>
          <w:sz w:val="22"/>
          <w:szCs w:val="22"/>
          <w:u w:val="single"/>
          <w:lang w:val="lv-LV"/>
        </w:rPr>
        <w:t xml:space="preserve">pozīcijām kopumā, pretējā gadījumā Pasūtītājs patur tiesības tirgus izpētes rezultātā veikt darījumu par atsevišķām </w:t>
      </w:r>
      <w:r w:rsidR="007119B7">
        <w:rPr>
          <w:rFonts w:cs="Arial"/>
          <w:sz w:val="22"/>
          <w:szCs w:val="22"/>
          <w:u w:val="single"/>
          <w:lang w:val="lv-LV"/>
        </w:rPr>
        <w:t>tirgus izpētes</w:t>
      </w:r>
      <w:r w:rsidRPr="00C1644B">
        <w:rPr>
          <w:rFonts w:cs="Arial"/>
          <w:sz w:val="22"/>
          <w:szCs w:val="22"/>
          <w:u w:val="single"/>
          <w:lang w:val="lv-LV"/>
        </w:rPr>
        <w:t xml:space="preserve"> pozīcijām.</w:t>
      </w:r>
    </w:p>
    <w:bookmarkEnd w:id="1"/>
    <w:p w14:paraId="64F18335" w14:textId="77777777" w:rsidR="00532F27" w:rsidRPr="00C1644B" w:rsidRDefault="00532F27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1C0BF3C0" w14:textId="77777777" w:rsidR="00544512" w:rsidRPr="00C1644B" w:rsidRDefault="00544512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7F3E1340" w14:textId="300FF1B2" w:rsidR="004F5282" w:rsidRPr="00C1644B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732DB8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732DB8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732DB8">
        <w:rPr>
          <w:rFonts w:cs="Arial"/>
          <w:sz w:val="22"/>
          <w:szCs w:val="22"/>
          <w:lang w:val="lv-LV"/>
        </w:rPr>
        <w:t xml:space="preserve">: </w:t>
      </w:r>
      <w:r w:rsidR="00C1644B" w:rsidRPr="00732DB8">
        <w:rPr>
          <w:rFonts w:cs="Arial"/>
          <w:b/>
          <w:bCs/>
          <w:sz w:val="22"/>
          <w:szCs w:val="22"/>
          <w:lang w:val="lv-LV"/>
        </w:rPr>
        <w:t>4</w:t>
      </w:r>
      <w:r w:rsidRPr="00732DB8">
        <w:rPr>
          <w:rFonts w:cs="Arial"/>
          <w:b/>
          <w:bCs/>
          <w:sz w:val="22"/>
          <w:szCs w:val="22"/>
          <w:lang w:val="lv-LV"/>
        </w:rPr>
        <w:t xml:space="preserve"> (</w:t>
      </w:r>
      <w:r w:rsidR="00732DB8" w:rsidRPr="00732DB8">
        <w:rPr>
          <w:rFonts w:cs="Arial"/>
          <w:b/>
          <w:bCs/>
          <w:sz w:val="22"/>
          <w:szCs w:val="22"/>
          <w:lang w:val="lv-LV"/>
        </w:rPr>
        <w:t>četr</w:t>
      </w:r>
      <w:r w:rsidR="00532F27" w:rsidRPr="00732DB8">
        <w:rPr>
          <w:rFonts w:cs="Arial"/>
          <w:b/>
          <w:bCs/>
          <w:sz w:val="22"/>
          <w:szCs w:val="22"/>
          <w:lang w:val="lv-LV"/>
        </w:rPr>
        <w:t>i</w:t>
      </w:r>
      <w:r w:rsidRPr="00732DB8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732DB8">
        <w:rPr>
          <w:rFonts w:cs="Arial"/>
          <w:sz w:val="22"/>
          <w:szCs w:val="22"/>
          <w:lang w:val="lv-LV"/>
        </w:rPr>
        <w:t>no</w:t>
      </w:r>
      <w:r w:rsidRPr="00C1644B">
        <w:rPr>
          <w:rFonts w:cs="Arial"/>
          <w:sz w:val="22"/>
          <w:szCs w:val="22"/>
          <w:lang w:val="lv-LV"/>
        </w:rPr>
        <w:t xml:space="preserve"> līguma noslēgšanas dienas.</w:t>
      </w:r>
    </w:p>
    <w:p w14:paraId="76DD16F9" w14:textId="2CB6AC24" w:rsidR="00BB2EF2" w:rsidRPr="00C1644B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C1644B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C1644B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C1644B">
        <w:rPr>
          <w:rFonts w:cs="Arial"/>
          <w:sz w:val="22"/>
          <w:szCs w:val="22"/>
          <w:lang w:val="lv-LV"/>
        </w:rPr>
        <w:t xml:space="preserve"> </w:t>
      </w:r>
      <w:r w:rsidRPr="00C1644B">
        <w:rPr>
          <w:rFonts w:cs="Arial"/>
          <w:sz w:val="22"/>
          <w:szCs w:val="22"/>
          <w:lang w:val="lv-LV"/>
        </w:rPr>
        <w:t xml:space="preserve">apmaksa tiek veikta </w:t>
      </w:r>
      <w:r w:rsidR="00DE47FD" w:rsidRPr="00C1644B">
        <w:rPr>
          <w:rFonts w:cs="Arial"/>
          <w:sz w:val="22"/>
          <w:szCs w:val="22"/>
          <w:lang w:val="lv-LV"/>
        </w:rPr>
        <w:t>3</w:t>
      </w:r>
      <w:r w:rsidRPr="00C1644B">
        <w:rPr>
          <w:rFonts w:cs="Arial"/>
          <w:sz w:val="22"/>
          <w:szCs w:val="22"/>
          <w:lang w:val="lv-LV"/>
        </w:rPr>
        <w:t>0 kalendār</w:t>
      </w:r>
      <w:r w:rsidR="00A86945">
        <w:rPr>
          <w:rFonts w:cs="Arial"/>
          <w:sz w:val="22"/>
          <w:szCs w:val="22"/>
          <w:lang w:val="lv-LV"/>
        </w:rPr>
        <w:t>a</w:t>
      </w:r>
      <w:r w:rsidRPr="00C1644B">
        <w:rPr>
          <w:rFonts w:cs="Arial"/>
          <w:sz w:val="22"/>
          <w:szCs w:val="22"/>
          <w:lang w:val="lv-LV"/>
        </w:rPr>
        <w:t xml:space="preserve"> dienu laikā </w:t>
      </w:r>
      <w:r w:rsidR="00380AF2" w:rsidRPr="00C1644B">
        <w:rPr>
          <w:rFonts w:cs="Arial"/>
          <w:sz w:val="22"/>
          <w:szCs w:val="22"/>
          <w:lang w:val="lv-LV"/>
        </w:rPr>
        <w:t>no r</w:t>
      </w:r>
      <w:r w:rsidR="004F5282" w:rsidRPr="00C1644B">
        <w:rPr>
          <w:rFonts w:cs="Arial"/>
          <w:sz w:val="22"/>
          <w:szCs w:val="22"/>
          <w:lang w:val="lv-LV"/>
        </w:rPr>
        <w:t>ēķina</w:t>
      </w:r>
      <w:r w:rsidR="007F5EF6" w:rsidRPr="00C1644B">
        <w:rPr>
          <w:rFonts w:cs="Arial"/>
          <w:sz w:val="22"/>
          <w:szCs w:val="22"/>
          <w:lang w:val="lv-LV"/>
        </w:rPr>
        <w:t xml:space="preserve"> </w:t>
      </w:r>
      <w:r w:rsidR="004F5282" w:rsidRPr="00C1644B">
        <w:rPr>
          <w:rFonts w:cs="Arial"/>
          <w:sz w:val="22"/>
          <w:szCs w:val="22"/>
          <w:lang w:val="lv-LV"/>
        </w:rPr>
        <w:t>saņemšanas</w:t>
      </w:r>
      <w:r w:rsidR="007F5EF6" w:rsidRPr="00C1644B">
        <w:rPr>
          <w:rFonts w:cs="Arial"/>
          <w:sz w:val="22"/>
          <w:szCs w:val="22"/>
          <w:lang w:val="lv-LV"/>
        </w:rPr>
        <w:t xml:space="preserve"> dienas</w:t>
      </w:r>
      <w:r w:rsidRPr="00C1644B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C1644B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C1644B">
        <w:rPr>
          <w:rFonts w:cs="Arial"/>
          <w:sz w:val="22"/>
          <w:szCs w:val="22"/>
          <w:lang w:val="lv-LV"/>
        </w:rPr>
        <w:t xml:space="preserve">Piedāvājuma </w:t>
      </w:r>
      <w:r w:rsidR="00182BDD" w:rsidRPr="00C1644B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C1644B">
        <w:rPr>
          <w:rFonts w:cs="Arial"/>
          <w:sz w:val="22"/>
          <w:szCs w:val="22"/>
          <w:lang w:val="lv-LV"/>
        </w:rPr>
        <w:t xml:space="preserve"> </w:t>
      </w:r>
      <w:r w:rsidRPr="00C1644B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C1644B">
        <w:rPr>
          <w:rFonts w:cs="Arial"/>
          <w:sz w:val="22"/>
          <w:szCs w:val="22"/>
          <w:lang w:val="lv-LV"/>
        </w:rPr>
        <w:t xml:space="preserve"> (izņemot PVN)</w:t>
      </w:r>
      <w:r w:rsidRPr="00C1644B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11F0E12F" w14:textId="77777777" w:rsidR="00130435" w:rsidRPr="00C1644B" w:rsidRDefault="00130435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306798E" w14:textId="7EAAED4C" w:rsidR="00AD0AC2" w:rsidRPr="00C1644B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C1644B">
        <w:rPr>
          <w:rFonts w:cs="Arial"/>
          <w:sz w:val="22"/>
          <w:szCs w:val="22"/>
          <w:lang w:val="lv-LV"/>
        </w:rPr>
        <w:t xml:space="preserve">Lūdzam Jūs līdz </w:t>
      </w:r>
      <w:r w:rsidRPr="00C1644B">
        <w:rPr>
          <w:rFonts w:cs="Arial"/>
          <w:b/>
          <w:bCs/>
          <w:sz w:val="22"/>
          <w:szCs w:val="22"/>
          <w:lang w:val="lv-LV"/>
        </w:rPr>
        <w:t>202</w:t>
      </w:r>
      <w:r w:rsidR="00532F27" w:rsidRPr="00C1644B">
        <w:rPr>
          <w:rFonts w:cs="Arial"/>
          <w:b/>
          <w:bCs/>
          <w:sz w:val="22"/>
          <w:szCs w:val="22"/>
          <w:lang w:val="lv-LV"/>
        </w:rPr>
        <w:t>3</w:t>
      </w:r>
      <w:r w:rsidRPr="00C1644B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8A7812">
        <w:rPr>
          <w:rFonts w:cs="Arial"/>
          <w:b/>
          <w:bCs/>
          <w:sz w:val="22"/>
          <w:szCs w:val="22"/>
          <w:lang w:val="lv-LV"/>
        </w:rPr>
        <w:t>12</w:t>
      </w:r>
      <w:r w:rsidR="00CB4467" w:rsidRPr="00C1644B">
        <w:rPr>
          <w:rFonts w:cs="Arial"/>
          <w:b/>
          <w:bCs/>
          <w:sz w:val="22"/>
          <w:szCs w:val="22"/>
          <w:lang w:val="lv-LV"/>
        </w:rPr>
        <w:t>.</w:t>
      </w:r>
      <w:r w:rsidR="008A7812">
        <w:rPr>
          <w:rFonts w:cs="Arial"/>
          <w:b/>
          <w:bCs/>
          <w:sz w:val="22"/>
          <w:szCs w:val="22"/>
          <w:lang w:val="lv-LV"/>
        </w:rPr>
        <w:t>aprīli</w:t>
      </w:r>
      <w:r w:rsidR="00CB4467" w:rsidRPr="00C1644B">
        <w:rPr>
          <w:rFonts w:cs="Arial"/>
          <w:b/>
          <w:bCs/>
          <w:sz w:val="22"/>
          <w:szCs w:val="22"/>
          <w:lang w:val="lv-LV"/>
        </w:rPr>
        <w:t>m</w:t>
      </w:r>
      <w:r w:rsidR="0075780A" w:rsidRPr="00C1644B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C1644B">
        <w:rPr>
          <w:rFonts w:cs="Arial"/>
          <w:sz w:val="22"/>
          <w:szCs w:val="22"/>
          <w:lang w:val="lv-LV"/>
        </w:rPr>
        <w:t xml:space="preserve">atsūtīt </w:t>
      </w:r>
      <w:r w:rsidR="004C4AD8" w:rsidRPr="00C1644B">
        <w:rPr>
          <w:rFonts w:cs="Arial"/>
          <w:sz w:val="22"/>
          <w:szCs w:val="22"/>
          <w:lang w:val="lv-LV"/>
        </w:rPr>
        <w:t xml:space="preserve">komercpiedāvājumu ar paraksttiesīgās personas parakstu </w:t>
      </w:r>
      <w:r w:rsidRPr="00C1644B">
        <w:rPr>
          <w:rFonts w:cs="Arial"/>
          <w:sz w:val="22"/>
          <w:szCs w:val="22"/>
          <w:lang w:val="lv-LV"/>
        </w:rPr>
        <w:t xml:space="preserve">uz </w:t>
      </w:r>
      <w:r w:rsidR="004C4AD8" w:rsidRPr="00C1644B">
        <w:rPr>
          <w:rFonts w:cs="Arial"/>
          <w:sz w:val="22"/>
          <w:szCs w:val="22"/>
          <w:lang w:val="lv-LV"/>
        </w:rPr>
        <w:t xml:space="preserve">VAS “Latvijas dzelzceļš” </w:t>
      </w:r>
      <w:r w:rsidRPr="00C1644B">
        <w:rPr>
          <w:rFonts w:cs="Arial"/>
          <w:sz w:val="22"/>
          <w:szCs w:val="22"/>
          <w:lang w:val="lv-LV"/>
        </w:rPr>
        <w:t>elektronisk</w:t>
      </w:r>
      <w:r w:rsidR="004C4AD8" w:rsidRPr="00C1644B">
        <w:rPr>
          <w:rFonts w:cs="Arial"/>
          <w:sz w:val="22"/>
          <w:szCs w:val="22"/>
          <w:lang w:val="lv-LV"/>
        </w:rPr>
        <w:t>ā</w:t>
      </w:r>
      <w:r w:rsidRPr="00C1644B">
        <w:rPr>
          <w:rFonts w:cs="Arial"/>
          <w:sz w:val="22"/>
          <w:szCs w:val="22"/>
          <w:lang w:val="lv-LV"/>
        </w:rPr>
        <w:t xml:space="preserve"> pasta adresi: </w:t>
      </w:r>
      <w:hyperlink r:id="rId10" w:history="1">
        <w:r w:rsidR="005777A5" w:rsidRPr="00C1644B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C1644B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Pr="00C1644B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4D6F7D07" w14:textId="77777777" w:rsidR="00450F10" w:rsidRPr="00C1644B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DBC7CF7" w14:textId="77777777" w:rsidR="0075780A" w:rsidRPr="00C1644B" w:rsidRDefault="0075780A" w:rsidP="0092275C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1DC555DC" w14:textId="289E2843" w:rsidR="005C2F4C" w:rsidRPr="00C1644B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C1644B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C1644B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C1644B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C1644B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sectPr w:rsidR="005C2F4C" w:rsidRPr="00C1644B" w:rsidSect="0099730B">
      <w:footerReference w:type="default" r:id="rId11"/>
      <w:pgSz w:w="11900" w:h="16840"/>
      <w:pgMar w:top="1134" w:right="1134" w:bottom="993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A9F7" w14:textId="77777777" w:rsidR="009F7050" w:rsidRDefault="009F7050" w:rsidP="001F7D81">
      <w:pPr>
        <w:spacing w:before="0" w:line="240" w:lineRule="auto"/>
      </w:pPr>
      <w:r>
        <w:separator/>
      </w:r>
    </w:p>
  </w:endnote>
  <w:endnote w:type="continuationSeparator" w:id="0">
    <w:p w14:paraId="1935B4FE" w14:textId="77777777" w:rsidR="009F7050" w:rsidRDefault="009F7050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00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092AE" w14:textId="27DC89B0" w:rsidR="0099730B" w:rsidRDefault="0099730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081668" w14:textId="77777777" w:rsidR="0099730B" w:rsidRDefault="009973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44B5" w14:textId="77777777" w:rsidR="009F7050" w:rsidRDefault="009F7050" w:rsidP="001F7D81">
      <w:pPr>
        <w:spacing w:before="0" w:line="240" w:lineRule="auto"/>
      </w:pPr>
      <w:r>
        <w:separator/>
      </w:r>
    </w:p>
  </w:footnote>
  <w:footnote w:type="continuationSeparator" w:id="0">
    <w:p w14:paraId="2F1A3CE7" w14:textId="77777777" w:rsidR="009F7050" w:rsidRDefault="009F7050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373631">
    <w:abstractNumId w:val="0"/>
  </w:num>
  <w:num w:numId="2" w16cid:durableId="1365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46C91"/>
    <w:rsid w:val="00055DB7"/>
    <w:rsid w:val="000638BF"/>
    <w:rsid w:val="00072591"/>
    <w:rsid w:val="00073DC2"/>
    <w:rsid w:val="000837B1"/>
    <w:rsid w:val="00091C9D"/>
    <w:rsid w:val="000A04F0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82BDD"/>
    <w:rsid w:val="00185033"/>
    <w:rsid w:val="001B744C"/>
    <w:rsid w:val="001E09F7"/>
    <w:rsid w:val="001F7D81"/>
    <w:rsid w:val="00202505"/>
    <w:rsid w:val="0020739A"/>
    <w:rsid w:val="00210BC8"/>
    <w:rsid w:val="002263B9"/>
    <w:rsid w:val="00241808"/>
    <w:rsid w:val="00245947"/>
    <w:rsid w:val="00252865"/>
    <w:rsid w:val="002843C1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311BE"/>
    <w:rsid w:val="0033174E"/>
    <w:rsid w:val="00340961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D5CCA"/>
    <w:rsid w:val="00401156"/>
    <w:rsid w:val="00412EBA"/>
    <w:rsid w:val="00422EF7"/>
    <w:rsid w:val="00431811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1C39"/>
    <w:rsid w:val="00503AFF"/>
    <w:rsid w:val="00532F27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E3A8A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9ED"/>
    <w:rsid w:val="00677880"/>
    <w:rsid w:val="00680F4A"/>
    <w:rsid w:val="0068601A"/>
    <w:rsid w:val="00694590"/>
    <w:rsid w:val="00696423"/>
    <w:rsid w:val="006C537D"/>
    <w:rsid w:val="006D3D2D"/>
    <w:rsid w:val="006E19FC"/>
    <w:rsid w:val="006F4707"/>
    <w:rsid w:val="007119B7"/>
    <w:rsid w:val="00721583"/>
    <w:rsid w:val="00722283"/>
    <w:rsid w:val="00724834"/>
    <w:rsid w:val="00732DB8"/>
    <w:rsid w:val="00752A37"/>
    <w:rsid w:val="0075780A"/>
    <w:rsid w:val="007633BA"/>
    <w:rsid w:val="007657C3"/>
    <w:rsid w:val="007719C7"/>
    <w:rsid w:val="007839FD"/>
    <w:rsid w:val="007A1385"/>
    <w:rsid w:val="007A74F0"/>
    <w:rsid w:val="007B1FBD"/>
    <w:rsid w:val="007B3EB2"/>
    <w:rsid w:val="007D303A"/>
    <w:rsid w:val="007D7158"/>
    <w:rsid w:val="007E1D02"/>
    <w:rsid w:val="007E3953"/>
    <w:rsid w:val="007F5EF6"/>
    <w:rsid w:val="008074C4"/>
    <w:rsid w:val="00814EE7"/>
    <w:rsid w:val="00826350"/>
    <w:rsid w:val="00852121"/>
    <w:rsid w:val="00856FBA"/>
    <w:rsid w:val="00871F5B"/>
    <w:rsid w:val="00874BD0"/>
    <w:rsid w:val="008A7812"/>
    <w:rsid w:val="008B5B54"/>
    <w:rsid w:val="008C2BA1"/>
    <w:rsid w:val="008C5896"/>
    <w:rsid w:val="008D1BFC"/>
    <w:rsid w:val="008E16B6"/>
    <w:rsid w:val="00904BD7"/>
    <w:rsid w:val="00917BE6"/>
    <w:rsid w:val="0092275C"/>
    <w:rsid w:val="0092692C"/>
    <w:rsid w:val="009350F6"/>
    <w:rsid w:val="0093668F"/>
    <w:rsid w:val="00957BEA"/>
    <w:rsid w:val="009628F0"/>
    <w:rsid w:val="00986165"/>
    <w:rsid w:val="00987583"/>
    <w:rsid w:val="0099730B"/>
    <w:rsid w:val="009A61A3"/>
    <w:rsid w:val="009B4A66"/>
    <w:rsid w:val="009C1CD0"/>
    <w:rsid w:val="009C55E7"/>
    <w:rsid w:val="009E4EB2"/>
    <w:rsid w:val="009F0987"/>
    <w:rsid w:val="009F2A88"/>
    <w:rsid w:val="009F3DD2"/>
    <w:rsid w:val="009F7050"/>
    <w:rsid w:val="00A149AB"/>
    <w:rsid w:val="00A21F41"/>
    <w:rsid w:val="00A26036"/>
    <w:rsid w:val="00A379A4"/>
    <w:rsid w:val="00A7481C"/>
    <w:rsid w:val="00A80BB6"/>
    <w:rsid w:val="00A86945"/>
    <w:rsid w:val="00A91957"/>
    <w:rsid w:val="00A919B7"/>
    <w:rsid w:val="00AB75C5"/>
    <w:rsid w:val="00AC4E71"/>
    <w:rsid w:val="00AD0054"/>
    <w:rsid w:val="00AD0AC2"/>
    <w:rsid w:val="00AD0E0D"/>
    <w:rsid w:val="00AD2BFB"/>
    <w:rsid w:val="00AE39C8"/>
    <w:rsid w:val="00AF476F"/>
    <w:rsid w:val="00AF7705"/>
    <w:rsid w:val="00AF7DAC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C0087E"/>
    <w:rsid w:val="00C15F7A"/>
    <w:rsid w:val="00C1644B"/>
    <w:rsid w:val="00C20EC3"/>
    <w:rsid w:val="00C23656"/>
    <w:rsid w:val="00C2461A"/>
    <w:rsid w:val="00C36DCF"/>
    <w:rsid w:val="00C46F20"/>
    <w:rsid w:val="00C74C7B"/>
    <w:rsid w:val="00C76B4E"/>
    <w:rsid w:val="00C96045"/>
    <w:rsid w:val="00CB4467"/>
    <w:rsid w:val="00CC345D"/>
    <w:rsid w:val="00CC7767"/>
    <w:rsid w:val="00CF5013"/>
    <w:rsid w:val="00D249F9"/>
    <w:rsid w:val="00D303FB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A6164"/>
    <w:rsid w:val="00DB1623"/>
    <w:rsid w:val="00DE47FD"/>
    <w:rsid w:val="00DF232D"/>
    <w:rsid w:val="00E01091"/>
    <w:rsid w:val="00E0373F"/>
    <w:rsid w:val="00E05167"/>
    <w:rsid w:val="00E1565A"/>
    <w:rsid w:val="00E26CF6"/>
    <w:rsid w:val="00E44BA5"/>
    <w:rsid w:val="00E54F15"/>
    <w:rsid w:val="00E63802"/>
    <w:rsid w:val="00E65868"/>
    <w:rsid w:val="00E67897"/>
    <w:rsid w:val="00E730BA"/>
    <w:rsid w:val="00E96FC9"/>
    <w:rsid w:val="00E9776D"/>
    <w:rsid w:val="00EA4E9F"/>
    <w:rsid w:val="00EB5A3F"/>
    <w:rsid w:val="00EC0F61"/>
    <w:rsid w:val="00F030C2"/>
    <w:rsid w:val="00F40692"/>
    <w:rsid w:val="00F44C7C"/>
    <w:rsid w:val="00F45B4D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p@ldz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93E8-0777-47BD-8B15-ED9F3C83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3</TotalTime>
  <Pages>3</Pages>
  <Words>3384</Words>
  <Characters>1930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5304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5</cp:revision>
  <cp:lastPrinted>2019-03-25T16:24:00Z</cp:lastPrinted>
  <dcterms:created xsi:type="dcterms:W3CDTF">2023-03-22T06:31:00Z</dcterms:created>
  <dcterms:modified xsi:type="dcterms:W3CDTF">2023-03-22T07:00:00Z</dcterms:modified>
</cp:coreProperties>
</file>