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99730B" w:rsidRDefault="00503AFF" w:rsidP="00722283">
      <w:pPr>
        <w:rPr>
          <w:lang w:val="lv-LV"/>
        </w:rPr>
      </w:pPr>
      <w:r w:rsidRPr="0099730B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99730B" w:rsidRDefault="007719C7" w:rsidP="00722283">
      <w:pPr>
        <w:rPr>
          <w:lang w:val="lv-LV"/>
        </w:rPr>
      </w:pPr>
    </w:p>
    <w:p w14:paraId="4AE4FA0A" w14:textId="77777777" w:rsidR="00FF460F" w:rsidRPr="0099730B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D593849" w14:textId="77777777" w:rsidR="00FF460F" w:rsidRPr="0099730B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23CFC34" w14:textId="77777777" w:rsidR="00503AFF" w:rsidRPr="0099730B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38A42E42" w14:textId="51CFD7C3" w:rsidR="00503AFF" w:rsidRPr="0099730B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99730B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2D953EB0" w14:textId="77777777" w:rsidR="005E3A8A" w:rsidRPr="0099730B" w:rsidRDefault="005E3A8A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7B0C1B54" w14:textId="5F7CB4CF" w:rsidR="00342E6C" w:rsidRPr="0099730B" w:rsidRDefault="00342E6C" w:rsidP="005E3A8A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99730B">
        <w:rPr>
          <w:rFonts w:cs="Arial"/>
          <w:sz w:val="22"/>
          <w:szCs w:val="22"/>
          <w:lang w:val="lv-LV"/>
        </w:rPr>
        <w:t xml:space="preserve">Valsts akciju sabiedrības “Latvijas dzelzceļš” Elektrotehniskā pārvalde organizē </w:t>
      </w:r>
      <w:r w:rsidR="007A74F0" w:rsidRPr="0099730B">
        <w:rPr>
          <w:rFonts w:cs="Arial"/>
          <w:sz w:val="22"/>
          <w:szCs w:val="22"/>
          <w:lang w:val="lv-LV"/>
        </w:rPr>
        <w:t>tirgus</w:t>
      </w:r>
      <w:r w:rsidR="0075780A" w:rsidRPr="0099730B">
        <w:rPr>
          <w:rFonts w:cs="Arial"/>
          <w:sz w:val="22"/>
          <w:szCs w:val="22"/>
          <w:lang w:val="lv-LV"/>
        </w:rPr>
        <w:t xml:space="preserve"> izpēti</w:t>
      </w:r>
      <w:r w:rsidRPr="0099730B">
        <w:rPr>
          <w:rFonts w:cs="Arial"/>
          <w:sz w:val="22"/>
          <w:szCs w:val="22"/>
          <w:lang w:val="lv-LV"/>
        </w:rPr>
        <w:t xml:space="preserve"> </w:t>
      </w:r>
      <w:r w:rsidR="00AF7DAC" w:rsidRPr="0099730B">
        <w:rPr>
          <w:rFonts w:cs="Arial"/>
          <w:sz w:val="22"/>
          <w:szCs w:val="22"/>
          <w:lang w:val="lv-LV"/>
        </w:rPr>
        <w:t>"</w:t>
      </w:r>
      <w:r w:rsidR="00532F27" w:rsidRPr="0099730B">
        <w:rPr>
          <w:rFonts w:cs="Arial"/>
          <w:b/>
          <w:bCs/>
          <w:sz w:val="22"/>
          <w:szCs w:val="22"/>
          <w:lang w:val="lv-LV"/>
        </w:rPr>
        <w:t>Kontrolleru un automatizācijas līdzekļu piegāde</w:t>
      </w:r>
      <w:r w:rsidR="00AF7DAC" w:rsidRPr="0099730B">
        <w:rPr>
          <w:rFonts w:cs="Arial"/>
          <w:sz w:val="22"/>
          <w:szCs w:val="22"/>
          <w:lang w:val="lv-LV"/>
        </w:rPr>
        <w:t>”</w:t>
      </w:r>
      <w:r w:rsidR="00026169" w:rsidRPr="0099730B">
        <w:rPr>
          <w:rFonts w:cs="Arial"/>
          <w:sz w:val="22"/>
          <w:szCs w:val="22"/>
          <w:lang w:val="lv-LV"/>
        </w:rPr>
        <w:t xml:space="preserve"> </w:t>
      </w:r>
      <w:r w:rsidRPr="0099730B">
        <w:rPr>
          <w:rFonts w:cs="Arial"/>
          <w:sz w:val="22"/>
          <w:szCs w:val="22"/>
          <w:lang w:val="lv-LV"/>
        </w:rPr>
        <w:t xml:space="preserve">saskaņā ar zemāk pievienoto sarakstu (turpmāk – </w:t>
      </w:r>
      <w:r w:rsidR="00194125">
        <w:rPr>
          <w:rFonts w:cs="Arial"/>
          <w:sz w:val="22"/>
          <w:szCs w:val="22"/>
          <w:lang w:val="lv-LV"/>
        </w:rPr>
        <w:t>Tirgus izpēte</w:t>
      </w:r>
      <w:r w:rsidRPr="0099730B">
        <w:rPr>
          <w:rFonts w:cs="Arial"/>
          <w:sz w:val="22"/>
          <w:szCs w:val="22"/>
          <w:lang w:val="lv-LV"/>
        </w:rPr>
        <w:t xml:space="preserve">), tādēļ aicinām Jūs, ieinteresētības gadījumā, iesniegt savu </w:t>
      </w:r>
      <w:proofErr w:type="spellStart"/>
      <w:r w:rsidRPr="0099730B">
        <w:rPr>
          <w:rFonts w:cs="Arial"/>
          <w:sz w:val="22"/>
          <w:szCs w:val="22"/>
          <w:lang w:val="lv-LV"/>
        </w:rPr>
        <w:t>komercpiedāvājumu</w:t>
      </w:r>
      <w:proofErr w:type="spellEnd"/>
      <w:r w:rsidRPr="0099730B">
        <w:rPr>
          <w:rFonts w:cs="Arial"/>
          <w:sz w:val="22"/>
          <w:szCs w:val="22"/>
          <w:lang w:val="lv-LV"/>
        </w:rPr>
        <w:t>:</w:t>
      </w:r>
    </w:p>
    <w:p w14:paraId="0081C7B7" w14:textId="112BD781" w:rsidR="00C76B4E" w:rsidRPr="0099730B" w:rsidRDefault="00C76B4E" w:rsidP="005E3A8A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tbl>
      <w:tblPr>
        <w:tblW w:w="95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817"/>
        <w:gridCol w:w="2007"/>
        <w:gridCol w:w="848"/>
        <w:gridCol w:w="708"/>
        <w:gridCol w:w="1407"/>
        <w:gridCol w:w="1369"/>
      </w:tblGrid>
      <w:tr w:rsidR="0099730B" w:rsidRPr="0099730B" w14:paraId="22979DEF" w14:textId="77777777" w:rsidTr="00234EE8">
        <w:trPr>
          <w:cantSplit/>
          <w:trHeight w:val="1542"/>
          <w:jc w:val="center"/>
        </w:trPr>
        <w:tc>
          <w:tcPr>
            <w:tcW w:w="4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CDE60A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99730B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N. P. K.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CFEB0DB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Preces nosaukums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D36868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Ražotāja numurs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923BF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Mērvienība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BD2AC1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99730B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Daudzums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1E1C2F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99730B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Cena par vienību, EUR (bez PVN)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C0A65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99730B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Summa, EUR (bez PVN</w:t>
            </w:r>
          </w:p>
        </w:tc>
      </w:tr>
      <w:tr w:rsidR="0099730B" w:rsidRPr="0099730B" w14:paraId="4C15DD5B" w14:textId="77777777" w:rsidTr="00234EE8">
        <w:trPr>
          <w:jc w:val="center"/>
        </w:trPr>
        <w:tc>
          <w:tcPr>
            <w:tcW w:w="43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29A1D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1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2F1E87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Programmējamais kontrolleris SIMATIC S7-1200 CPU 1212C DC/DC/DC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Raž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. nr. 6ES7212-1AE40-0XB0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B312A2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6ES7 212-1AE40-0XB0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DEB8C6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6381A9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20271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47EEC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274A8BB7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9B9AE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B54F4F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Signālplate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SB 1222 DQ 4x24VDC/0.1A, 200kHz 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Raž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. Nr. 6ES7222-1BD30-0XB0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B0505B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6ES7222-1BD30-0XB0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0797EA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5BB236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0C964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AB9E7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2975A77C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EB92E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73016A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Ievades modulis SM 1221 DI 16x24VDC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Raž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. Nr. 6ES7221-1BH32-0XB0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0A01F8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6ES7221-1BH32-0XB0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FA655A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0F1ADF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68328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2341A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0EE36B11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6FD6A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549C48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Izvades modulis SM 1222 DQ 8x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Relay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/CO/2 A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Raž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. nr. 6ES7222-1XF32-0XB0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FC48A7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6ES7222-1XF32-0XB0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7C07FC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4B15CD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04FB5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EC4DE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23890319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F2CAA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B14628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Atmiņas karte SIMATIC 4MB SIMATIC S7,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memory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card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for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S7-1x 00 CPU/SINAMICS, 3,3 V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Flash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, 4 MB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Raž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. nr. 6ES7954-8LC02-0AA0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DD428C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6ES7954-8LC02-0AA0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4EE2C9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5ED80B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2D91D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02A71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6B3DF30B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8ABF3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F96943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Phoenix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Contact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relejs</w:t>
            </w: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br/>
              <w:t xml:space="preserve">PLC-RPT- 24DC/2X21/FG 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Raž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. Nr. 2910537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47FCF7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2910537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C07077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A74BE3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72851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297FE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59D035E2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1CBEE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1948B2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Barošanas bloks - stabilizators 24VDC/24VDC 5A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MeanWell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DDR-120B-24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06A955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DDR-120B-24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9B0575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2D42B4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4CE22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4A08D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364A5209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01843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9F912A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Barošanas bloks - stabilizators 12VDC/24VDC 4,2A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MeanWell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DDR-120A-24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90D565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DDR-120A-24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575510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672AB2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DA703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CE857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174254BE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9E3A2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DE98D1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Automātiskais slēdzis ABB S201-C3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Miniature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Circuit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Breaker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- 1P-C-3 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995108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2CDS251001R0034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C68834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642D19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2FBD0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32B56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54771C2E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9AFF9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10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A0D113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Automātiskais slēdzis ABB S201-C6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Miniature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Circuit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Breaker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- 1P-C-6 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81BC24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2CDS251001R0064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1B7CD5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90C35B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35AF1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4A411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1F2387E5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10239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lastRenderedPageBreak/>
              <w:t>11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3F4C08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Automātiskais slēdzis ABB S201-C1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Miniature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Circuit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Breaker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- 1P-C-1 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54842D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2CDS251001R0014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5FB82B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293358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39C1F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93358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1B5FACAB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11643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12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5FD969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Signāla/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palīgkontakts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ABB S2C-S/H6R-Signal/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Auxiliary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Contact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247F84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2CDS200922R0001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3CB3C9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C9EEC7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A0A15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18D8A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51955FB3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FE52D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13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B7CD03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Palīgkontakts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ABB S2C-H6R-Auxiliary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Contact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40A183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2CDS200912R0001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810BFC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B5A3E1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CC6C8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2AA8B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2E720399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5419F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14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336AAC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Multifunkcionāls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laika relejs ABB CT-MVS.21, 24-240VAC/DC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901043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1SVR730020R0200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CCDAFD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FA1778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31E3A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B636B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24DBCC9C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0C4A5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15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84D365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Klemmju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savienojuma termināls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Weidmüller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Spring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connection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A3C 1.5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AEA149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1552740000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6E2DF4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E5F1EF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F4740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D2B88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4B4FCEFD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54C19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16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85233D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Klemmju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savienojuma termināls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Weidmüller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Spring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connection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A4C 1.5 BL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A5B1ED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1552700000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A7B7F9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49B45B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8EC49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D9592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7E987FB3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4AEA7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17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D2857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Klemmju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savienojuma termināls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Weidmüller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Spring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connection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A4C 1.5 OR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B16C1E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1552720000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8DA4EC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FCCC66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A36A7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F7717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41980799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7E7C5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18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334038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Gala vāks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Weidmüller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End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plate AEP 4C 1.5 BL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335B0A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1552650000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387F66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7C5421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45B4C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F15E7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51289DFB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859C5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19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487E3C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Gala vāks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Weidmüller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End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plate AEP 4C 1.5 OR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1F88F4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2052400000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D5F9F8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E3665A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A5A92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15EA4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554F5436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18F4F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239D78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Savienotājs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Weidmüller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ZQV 1.5N/50 RD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5CE147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1985820000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3B5516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3BDCE0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53379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48857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27A86D78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E76F4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21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065897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Savienotājs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Weidmüller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ZQV 1.5N/50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816C8C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1985620000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2E32F2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651998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3D873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393C3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504833D9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C4EF8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22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EE2050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Savienotājs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Weidmüller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ZQV 1.5N/50 BL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5A7AF3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1985720000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2B869B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D7C958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3F122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6A017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3B426752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9ED17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23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09735C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Nosegplāksne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Weidmüller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AEP 3C 1.5 BL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9B4864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1552630000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351877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F87BE6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60B42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AC19D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0AB6BD28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292F8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24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4D40AA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Nosegplāksne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Weidmüller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AEP 3C 1.5 OR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B663F1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2052390000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24F882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5E528A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164A1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E4EED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2C7537A5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35FF4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25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04E4DE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Nosegplāksne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Weidmüller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AEP 3C 1.5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CCC83A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1552620000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2A4007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E6EFD5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BAD6D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8E990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740CB7CA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47202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26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F691FE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Gala apskava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Weidmüller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End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bracket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AEB 35 SC/1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4B79E3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1991920000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8FF7A5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1C615D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0041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6A4CA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2D89C3D5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3BB7E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27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6C9508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Termināļu marķieris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Weidmueller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Terminal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marker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WS 10/3.5 PLUS MC NE WS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9E3FF4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2003760000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084AC8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29BE03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B4D63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48FB4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54D87E00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A9B3F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28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9283B3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Drošinatāja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termināls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Weidmuller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ASK 1/NE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D32C44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474560000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55F60F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CD709E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64F11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407B5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1E4BBA04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69846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29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EC79D7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5x20 mm drošinātāji 3.15A (10 gab.)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Weidmüller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G 20/3.15A/F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0B00B9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431100000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27AE52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iepak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575608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C4D5F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0EE88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3B8E6B64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BE06D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30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4D9F8B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5x20 mm drošinātāji 1A (10 gab.)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Weidmüller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G 20/1.00A/F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EE918F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430700000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52CA4F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iepak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27E463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15979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23094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6E4B73DB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ABC0F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31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CD7865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Āderuzgalis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0.75 X 6mm (100 gab.)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909894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3A3019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iepak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53E9C1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B4D36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DB7A9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57DE5D80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891DE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32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F0CE7C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Āderuzgalis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0.75 X 8mm (100 gab.)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2E46EA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6326A5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iepak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CE6526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B6183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8980F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0152A517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5E07A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33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716E27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Āderuzgalis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dubultais 2x0.75 mm². garums 8 mm (100 gab.)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9BB319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329342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iepak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482844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D71A5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DC8F0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34D4A6F3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4073F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34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E6D5F3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Montāžas v</w:t>
            </w:r>
            <w:r w:rsidRPr="0099730B">
              <w:rPr>
                <w:rFonts w:eastAsia="Times New Roman" w:cs="Arial"/>
                <w:color w:val="000000"/>
                <w:szCs w:val="20"/>
                <w:lang w:val="lv-LV" w:eastAsia="lv-LV"/>
              </w:rPr>
              <w:t>a</w:t>
            </w: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ds 0.75 mm²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AABD51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2DB7F2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F6B1DA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eastAsia="Times New Roman" w:cs="Arial"/>
                <w:color w:val="000000"/>
                <w:szCs w:val="20"/>
                <w:lang w:val="lv-LV" w:eastAsia="lv-LV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1EA9D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24A98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0525F815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58A53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35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686806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DIN-sliede perforēta 35x7.5x1mm, 2m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6B67CD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79F11A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232CD1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B1482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EA894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18168064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AE797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lastRenderedPageBreak/>
              <w:t>36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835AE7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Barošanas bloks - stabilizators 24VDC/48VDC 5A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MeanWell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DDR-240B-48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4341F6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DDR-240B-48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463F60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FA2AE1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BCDE2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63045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67342212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82E15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37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1CA67C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Barošanas bloks - stabilizators 12VDC/48VDC 2,1A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MeanWell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DDR-120A-48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2BA821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DDR-120A-48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DDE5F5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CBDE64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F7BDE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FCFD0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1E278552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BFFA1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38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9D54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CAT 6 UTP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Patch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Cable, 1m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527131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CD17D4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17EE3D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B8C47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14BD8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7720BB31" w14:textId="77777777" w:rsidTr="00234EE8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6B2F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99730B">
              <w:rPr>
                <w:rFonts w:cs="Arial"/>
                <w:color w:val="000000"/>
                <w:szCs w:val="20"/>
                <w:lang w:val="lv-LV"/>
              </w:rPr>
              <w:t>39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46E675" w14:textId="77777777" w:rsidR="0099730B" w:rsidRPr="0005120B" w:rsidRDefault="0099730B" w:rsidP="0099730B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CAT 6 UTP </w:t>
            </w:r>
            <w:proofErr w:type="spellStart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Patch</w:t>
            </w:r>
            <w:proofErr w:type="spellEnd"/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 Cable, 2m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03DE10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6AD132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E84CA5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05120B">
              <w:rPr>
                <w:rFonts w:eastAsia="Times New Roman" w:cs="Arial"/>
                <w:color w:val="000000"/>
                <w:szCs w:val="20"/>
                <w:lang w:val="lv-LV" w:eastAsia="lv-LV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D13BEC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48861" w14:textId="77777777" w:rsidR="0099730B" w:rsidRPr="000512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</w:p>
        </w:tc>
      </w:tr>
      <w:tr w:rsidR="0099730B" w:rsidRPr="0099730B" w14:paraId="5EC827BE" w14:textId="77777777" w:rsidTr="00234EE8">
        <w:trPr>
          <w:jc w:val="center"/>
        </w:trPr>
        <w:tc>
          <w:tcPr>
            <w:tcW w:w="82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A2B5B" w14:textId="77777777" w:rsidR="0099730B" w:rsidRPr="0099730B" w:rsidRDefault="0099730B" w:rsidP="0099730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99730B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KOPĀ: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E12E8" w14:textId="77777777" w:rsidR="0099730B" w:rsidRPr="0099730B" w:rsidRDefault="0099730B" w:rsidP="0099730B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</w:p>
        </w:tc>
      </w:tr>
    </w:tbl>
    <w:p w14:paraId="59F72FC7" w14:textId="77777777" w:rsidR="0099730B" w:rsidRPr="0099730B" w:rsidRDefault="0099730B" w:rsidP="005E3A8A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6E1733E2" w14:textId="73F31340" w:rsidR="00532F27" w:rsidRPr="0099730B" w:rsidRDefault="00532F27" w:rsidP="00532F27">
      <w:pPr>
        <w:spacing w:line="240" w:lineRule="auto"/>
        <w:rPr>
          <w:rFonts w:cs="Arial"/>
          <w:sz w:val="22"/>
          <w:szCs w:val="22"/>
          <w:u w:val="single"/>
          <w:lang w:val="lv-LV"/>
        </w:rPr>
      </w:pPr>
      <w:bookmarkStart w:id="0" w:name="_Hlk118702521"/>
      <w:r w:rsidRPr="0099730B">
        <w:rPr>
          <w:rFonts w:cs="Arial"/>
          <w:sz w:val="22"/>
          <w:szCs w:val="22"/>
          <w:u w:val="single"/>
          <w:lang w:val="lv-LV"/>
        </w:rPr>
        <w:t xml:space="preserve">Piedāvājumu var iesniegt gan par visu </w:t>
      </w:r>
      <w:r w:rsidR="00194125">
        <w:rPr>
          <w:rFonts w:cs="Arial"/>
          <w:sz w:val="22"/>
          <w:szCs w:val="22"/>
          <w:u w:val="single"/>
          <w:lang w:val="lv-LV"/>
        </w:rPr>
        <w:t>Tirgus izpētes</w:t>
      </w:r>
      <w:r w:rsidRPr="0099730B">
        <w:rPr>
          <w:rFonts w:cs="Arial"/>
          <w:sz w:val="22"/>
          <w:szCs w:val="22"/>
          <w:u w:val="single"/>
          <w:lang w:val="lv-LV"/>
        </w:rPr>
        <w:t xml:space="preserve"> priekšmetu kopumā, gan par atsevišķām tā pozīcijām. Lūdzu norādīt, ja </w:t>
      </w:r>
      <w:proofErr w:type="spellStart"/>
      <w:r w:rsidRPr="0099730B">
        <w:rPr>
          <w:rFonts w:cs="Arial"/>
          <w:sz w:val="22"/>
          <w:szCs w:val="22"/>
          <w:u w:val="single"/>
          <w:lang w:val="lv-LV"/>
        </w:rPr>
        <w:t>komercpiedāvājums</w:t>
      </w:r>
      <w:proofErr w:type="spellEnd"/>
      <w:r w:rsidRPr="0099730B">
        <w:rPr>
          <w:rFonts w:cs="Arial"/>
          <w:sz w:val="22"/>
          <w:szCs w:val="22"/>
          <w:u w:val="single"/>
          <w:lang w:val="lv-LV"/>
        </w:rPr>
        <w:t xml:space="preserve"> ir spēkā piedāvātajām </w:t>
      </w:r>
      <w:r w:rsidR="00194125">
        <w:rPr>
          <w:rFonts w:cs="Arial"/>
          <w:sz w:val="22"/>
          <w:szCs w:val="22"/>
          <w:u w:val="single"/>
          <w:lang w:val="lv-LV"/>
        </w:rPr>
        <w:t xml:space="preserve">Tirgus </w:t>
      </w:r>
      <w:proofErr w:type="spellStart"/>
      <w:r w:rsidR="00194125">
        <w:rPr>
          <w:rFonts w:cs="Arial"/>
          <w:sz w:val="22"/>
          <w:szCs w:val="22"/>
          <w:u w:val="single"/>
          <w:lang w:val="lv-LV"/>
        </w:rPr>
        <w:t>izpetes</w:t>
      </w:r>
      <w:proofErr w:type="spellEnd"/>
      <w:r w:rsidR="00194125">
        <w:rPr>
          <w:rFonts w:cs="Arial"/>
          <w:sz w:val="22"/>
          <w:szCs w:val="22"/>
          <w:u w:val="single"/>
          <w:lang w:val="lv-LV"/>
        </w:rPr>
        <w:t xml:space="preserve"> </w:t>
      </w:r>
      <w:r w:rsidRPr="0099730B">
        <w:rPr>
          <w:rFonts w:cs="Arial"/>
          <w:sz w:val="22"/>
          <w:szCs w:val="22"/>
          <w:u w:val="single"/>
          <w:lang w:val="lv-LV"/>
        </w:rPr>
        <w:t xml:space="preserve">pozīcijām kopumā, pretējā gadījumā Pasūtītājs patur tiesības </w:t>
      </w:r>
      <w:r w:rsidR="00194125">
        <w:rPr>
          <w:rFonts w:cs="Arial"/>
          <w:sz w:val="22"/>
          <w:szCs w:val="22"/>
          <w:u w:val="single"/>
          <w:lang w:val="lv-LV"/>
        </w:rPr>
        <w:t>T</w:t>
      </w:r>
      <w:r w:rsidRPr="0099730B">
        <w:rPr>
          <w:rFonts w:cs="Arial"/>
          <w:sz w:val="22"/>
          <w:szCs w:val="22"/>
          <w:u w:val="single"/>
          <w:lang w:val="lv-LV"/>
        </w:rPr>
        <w:t xml:space="preserve">irgus izpētes rezultātā veikt darījumu par atsevišķām </w:t>
      </w:r>
      <w:r w:rsidR="00194125">
        <w:rPr>
          <w:rFonts w:cs="Arial"/>
          <w:sz w:val="22"/>
          <w:szCs w:val="22"/>
          <w:u w:val="single"/>
          <w:lang w:val="lv-LV"/>
        </w:rPr>
        <w:t>tās</w:t>
      </w:r>
      <w:r w:rsidRPr="0099730B">
        <w:rPr>
          <w:rFonts w:cs="Arial"/>
          <w:sz w:val="22"/>
          <w:szCs w:val="22"/>
          <w:u w:val="single"/>
          <w:lang w:val="lv-LV"/>
        </w:rPr>
        <w:t xml:space="preserve"> pozīcijām.</w:t>
      </w:r>
    </w:p>
    <w:bookmarkEnd w:id="0"/>
    <w:p w14:paraId="64F18335" w14:textId="77777777" w:rsidR="00532F27" w:rsidRPr="0099730B" w:rsidRDefault="00532F27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5952FC2E" w14:textId="5A79054A" w:rsidR="00BB2EF2" w:rsidRPr="0099730B" w:rsidRDefault="00BB2EF2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99730B">
        <w:rPr>
          <w:rFonts w:cs="Arial"/>
          <w:b/>
          <w:bCs/>
          <w:sz w:val="22"/>
          <w:szCs w:val="22"/>
          <w:u w:val="single"/>
          <w:lang w:val="lv-LV"/>
        </w:rPr>
        <w:t xml:space="preserve">Piegādes </w:t>
      </w:r>
      <w:r w:rsidR="00532F27" w:rsidRPr="0099730B">
        <w:rPr>
          <w:rFonts w:cs="Arial"/>
          <w:b/>
          <w:bCs/>
          <w:sz w:val="22"/>
          <w:szCs w:val="22"/>
          <w:u w:val="single"/>
          <w:lang w:val="lv-LV"/>
        </w:rPr>
        <w:t>vieta:</w:t>
      </w:r>
      <w:r w:rsidR="00532F27" w:rsidRPr="0099730B">
        <w:rPr>
          <w:rFonts w:cs="Arial"/>
          <w:sz w:val="22"/>
          <w:szCs w:val="22"/>
          <w:lang w:val="lv-LV"/>
        </w:rPr>
        <w:t xml:space="preserve"> </w:t>
      </w:r>
      <w:r w:rsidRPr="0099730B">
        <w:rPr>
          <w:rFonts w:cs="Arial"/>
          <w:sz w:val="22"/>
          <w:szCs w:val="22"/>
          <w:lang w:val="lv-LV"/>
        </w:rPr>
        <w:t xml:space="preserve"> </w:t>
      </w:r>
      <w:r w:rsidR="00532F27" w:rsidRPr="0099730B">
        <w:rPr>
          <w:rFonts w:cs="Arial"/>
          <w:sz w:val="22"/>
          <w:szCs w:val="22"/>
          <w:lang w:val="lv-LV"/>
        </w:rPr>
        <w:t>Elektrotehniskās pārvaldes Rīgas reģionālais centrs, Krustpils 24-noliktava, Rīgā.</w:t>
      </w:r>
    </w:p>
    <w:p w14:paraId="1C0BF3C0" w14:textId="77777777" w:rsidR="00544512" w:rsidRPr="0099730B" w:rsidRDefault="00544512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7F3E1340" w14:textId="52F9F6AC" w:rsidR="004F5282" w:rsidRPr="0099730B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99730B">
        <w:rPr>
          <w:rFonts w:cs="Arial"/>
          <w:b/>
          <w:bCs/>
          <w:sz w:val="22"/>
          <w:szCs w:val="22"/>
          <w:u w:val="single"/>
          <w:lang w:val="lv-LV"/>
        </w:rPr>
        <w:t>Preces piegādes</w:t>
      </w:r>
      <w:r w:rsidR="004F5282" w:rsidRPr="0099730B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99730B">
        <w:rPr>
          <w:rFonts w:cs="Arial"/>
          <w:sz w:val="22"/>
          <w:szCs w:val="22"/>
          <w:lang w:val="lv-LV"/>
        </w:rPr>
        <w:t xml:space="preserve">: </w:t>
      </w:r>
      <w:r w:rsidR="00532F27" w:rsidRPr="0099730B">
        <w:rPr>
          <w:rFonts w:cs="Arial"/>
          <w:b/>
          <w:bCs/>
          <w:sz w:val="22"/>
          <w:szCs w:val="22"/>
          <w:lang w:val="lv-LV"/>
        </w:rPr>
        <w:t>5</w:t>
      </w:r>
      <w:r w:rsidRPr="0099730B">
        <w:rPr>
          <w:rFonts w:cs="Arial"/>
          <w:b/>
          <w:bCs/>
          <w:sz w:val="22"/>
          <w:szCs w:val="22"/>
          <w:lang w:val="lv-LV"/>
        </w:rPr>
        <w:t xml:space="preserve"> (</w:t>
      </w:r>
      <w:r w:rsidR="00532F27" w:rsidRPr="0099730B">
        <w:rPr>
          <w:rFonts w:cs="Arial"/>
          <w:b/>
          <w:bCs/>
          <w:sz w:val="22"/>
          <w:szCs w:val="22"/>
          <w:lang w:val="lv-LV"/>
        </w:rPr>
        <w:t>pieci</w:t>
      </w:r>
      <w:r w:rsidRPr="0099730B">
        <w:rPr>
          <w:rFonts w:cs="Arial"/>
          <w:b/>
          <w:bCs/>
          <w:sz w:val="22"/>
          <w:szCs w:val="22"/>
          <w:lang w:val="lv-LV"/>
        </w:rPr>
        <w:t xml:space="preserve">) mēneši </w:t>
      </w:r>
      <w:r w:rsidRPr="0099730B">
        <w:rPr>
          <w:rFonts w:cs="Arial"/>
          <w:sz w:val="22"/>
          <w:szCs w:val="22"/>
          <w:lang w:val="lv-LV"/>
        </w:rPr>
        <w:t>no līguma noslēgšanas dienas.</w:t>
      </w:r>
    </w:p>
    <w:p w14:paraId="76DD16F9" w14:textId="2C964F48" w:rsidR="00BB2EF2" w:rsidRPr="0099730B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99730B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99730B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99730B">
        <w:rPr>
          <w:rFonts w:cs="Arial"/>
          <w:sz w:val="22"/>
          <w:szCs w:val="22"/>
          <w:lang w:val="lv-LV"/>
        </w:rPr>
        <w:t xml:space="preserve"> </w:t>
      </w:r>
      <w:r w:rsidRPr="0099730B">
        <w:rPr>
          <w:rFonts w:cs="Arial"/>
          <w:sz w:val="22"/>
          <w:szCs w:val="22"/>
          <w:lang w:val="lv-LV"/>
        </w:rPr>
        <w:t xml:space="preserve">apmaksa tiek veikta </w:t>
      </w:r>
      <w:r w:rsidR="00DE47FD" w:rsidRPr="0099730B">
        <w:rPr>
          <w:rFonts w:cs="Arial"/>
          <w:sz w:val="22"/>
          <w:szCs w:val="22"/>
          <w:lang w:val="lv-LV"/>
        </w:rPr>
        <w:t>3</w:t>
      </w:r>
      <w:r w:rsidRPr="0099730B">
        <w:rPr>
          <w:rFonts w:cs="Arial"/>
          <w:sz w:val="22"/>
          <w:szCs w:val="22"/>
          <w:lang w:val="lv-LV"/>
        </w:rPr>
        <w:t xml:space="preserve">0 kalendāro dienu laikā </w:t>
      </w:r>
      <w:r w:rsidR="00380AF2" w:rsidRPr="0099730B">
        <w:rPr>
          <w:rFonts w:cs="Arial"/>
          <w:sz w:val="22"/>
          <w:szCs w:val="22"/>
          <w:lang w:val="lv-LV"/>
        </w:rPr>
        <w:t>no r</w:t>
      </w:r>
      <w:r w:rsidR="004F5282" w:rsidRPr="0099730B">
        <w:rPr>
          <w:rFonts w:cs="Arial"/>
          <w:sz w:val="22"/>
          <w:szCs w:val="22"/>
          <w:lang w:val="lv-LV"/>
        </w:rPr>
        <w:t>ēķina</w:t>
      </w:r>
      <w:r w:rsidR="007F5EF6" w:rsidRPr="0099730B">
        <w:rPr>
          <w:rFonts w:cs="Arial"/>
          <w:sz w:val="22"/>
          <w:szCs w:val="22"/>
          <w:lang w:val="lv-LV"/>
        </w:rPr>
        <w:t xml:space="preserve"> </w:t>
      </w:r>
      <w:r w:rsidR="004F5282" w:rsidRPr="0099730B">
        <w:rPr>
          <w:rFonts w:cs="Arial"/>
          <w:sz w:val="22"/>
          <w:szCs w:val="22"/>
          <w:lang w:val="lv-LV"/>
        </w:rPr>
        <w:t>saņemšanas</w:t>
      </w:r>
      <w:r w:rsidR="007F5EF6" w:rsidRPr="0099730B">
        <w:rPr>
          <w:rFonts w:cs="Arial"/>
          <w:sz w:val="22"/>
          <w:szCs w:val="22"/>
          <w:lang w:val="lv-LV"/>
        </w:rPr>
        <w:t xml:space="preserve"> dienas</w:t>
      </w:r>
      <w:r w:rsidRPr="0099730B">
        <w:rPr>
          <w:rFonts w:cs="Arial"/>
          <w:sz w:val="22"/>
          <w:szCs w:val="22"/>
          <w:lang w:val="lv-LV"/>
        </w:rPr>
        <w:t>.</w:t>
      </w:r>
    </w:p>
    <w:p w14:paraId="64396A4A" w14:textId="6CADBCFB" w:rsidR="006549C0" w:rsidRPr="0099730B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99730B">
        <w:rPr>
          <w:rFonts w:cs="Arial"/>
          <w:sz w:val="22"/>
          <w:szCs w:val="22"/>
          <w:lang w:val="lv-LV"/>
        </w:rPr>
        <w:t xml:space="preserve">Piedāvājuma </w:t>
      </w:r>
      <w:r w:rsidR="00182BDD" w:rsidRPr="0099730B">
        <w:rPr>
          <w:rFonts w:cs="Arial"/>
          <w:sz w:val="22"/>
          <w:szCs w:val="22"/>
          <w:u w:val="single"/>
          <w:lang w:val="lv-LV"/>
        </w:rPr>
        <w:t>(preču pozīciju)</w:t>
      </w:r>
      <w:r w:rsidR="00182BDD" w:rsidRPr="0099730B">
        <w:rPr>
          <w:rFonts w:cs="Arial"/>
          <w:sz w:val="22"/>
          <w:szCs w:val="22"/>
          <w:lang w:val="lv-LV"/>
        </w:rPr>
        <w:t xml:space="preserve"> </w:t>
      </w:r>
      <w:r w:rsidRPr="0099730B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99730B">
        <w:rPr>
          <w:rFonts w:cs="Arial"/>
          <w:sz w:val="22"/>
          <w:szCs w:val="22"/>
          <w:lang w:val="lv-LV"/>
        </w:rPr>
        <w:t xml:space="preserve"> (izņemot PVN)</w:t>
      </w:r>
      <w:r w:rsidRPr="0099730B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11F0E12F" w14:textId="77777777" w:rsidR="00130435" w:rsidRPr="0099730B" w:rsidRDefault="00130435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5306798E" w14:textId="119AC7BE" w:rsidR="00AD0AC2" w:rsidRPr="0099730B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99730B">
        <w:rPr>
          <w:rFonts w:cs="Arial"/>
          <w:sz w:val="22"/>
          <w:szCs w:val="22"/>
          <w:lang w:val="lv-LV"/>
        </w:rPr>
        <w:t xml:space="preserve">Lūdzam Jūs līdz </w:t>
      </w:r>
      <w:r w:rsidRPr="0099730B">
        <w:rPr>
          <w:rFonts w:cs="Arial"/>
          <w:b/>
          <w:bCs/>
          <w:sz w:val="22"/>
          <w:szCs w:val="22"/>
          <w:lang w:val="lv-LV"/>
        </w:rPr>
        <w:t>202</w:t>
      </w:r>
      <w:r w:rsidR="00532F27" w:rsidRPr="0099730B">
        <w:rPr>
          <w:rFonts w:cs="Arial"/>
          <w:b/>
          <w:bCs/>
          <w:sz w:val="22"/>
          <w:szCs w:val="22"/>
          <w:lang w:val="lv-LV"/>
        </w:rPr>
        <w:t>3</w:t>
      </w:r>
      <w:r w:rsidRPr="0099730B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532F27" w:rsidRPr="0099730B">
        <w:rPr>
          <w:rFonts w:cs="Arial"/>
          <w:b/>
          <w:bCs/>
          <w:sz w:val="22"/>
          <w:szCs w:val="22"/>
          <w:lang w:val="lv-LV"/>
        </w:rPr>
        <w:t>24</w:t>
      </w:r>
      <w:r w:rsidR="00CB4467" w:rsidRPr="0099730B">
        <w:rPr>
          <w:rFonts w:cs="Arial"/>
          <w:b/>
          <w:bCs/>
          <w:sz w:val="22"/>
          <w:szCs w:val="22"/>
          <w:lang w:val="lv-LV"/>
        </w:rPr>
        <w:t>.</w:t>
      </w:r>
      <w:r w:rsidR="00532F27" w:rsidRPr="0099730B">
        <w:rPr>
          <w:rFonts w:cs="Arial"/>
          <w:b/>
          <w:bCs/>
          <w:sz w:val="22"/>
          <w:szCs w:val="22"/>
          <w:lang w:val="lv-LV"/>
        </w:rPr>
        <w:t>februā</w:t>
      </w:r>
      <w:r w:rsidR="00CB4467" w:rsidRPr="0099730B">
        <w:rPr>
          <w:rFonts w:cs="Arial"/>
          <w:b/>
          <w:bCs/>
          <w:sz w:val="22"/>
          <w:szCs w:val="22"/>
          <w:lang w:val="lv-LV"/>
        </w:rPr>
        <w:t>rim</w:t>
      </w:r>
      <w:r w:rsidR="0075780A" w:rsidRPr="0099730B">
        <w:rPr>
          <w:rFonts w:cs="Arial"/>
          <w:b/>
          <w:bCs/>
          <w:sz w:val="22"/>
          <w:szCs w:val="22"/>
          <w:lang w:val="lv-LV"/>
        </w:rPr>
        <w:t xml:space="preserve"> </w:t>
      </w:r>
      <w:r w:rsidRPr="0099730B">
        <w:rPr>
          <w:rFonts w:cs="Arial"/>
          <w:sz w:val="22"/>
          <w:szCs w:val="22"/>
          <w:lang w:val="lv-LV"/>
        </w:rPr>
        <w:t xml:space="preserve">atsūtīt </w:t>
      </w:r>
      <w:proofErr w:type="spellStart"/>
      <w:r w:rsidR="004C4AD8" w:rsidRPr="0099730B">
        <w:rPr>
          <w:rFonts w:cs="Arial"/>
          <w:sz w:val="22"/>
          <w:szCs w:val="22"/>
          <w:lang w:val="lv-LV"/>
        </w:rPr>
        <w:t>komercpiedāvājumu</w:t>
      </w:r>
      <w:proofErr w:type="spellEnd"/>
      <w:r w:rsidR="004C4AD8" w:rsidRPr="0099730B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="004C4AD8" w:rsidRPr="0099730B">
        <w:rPr>
          <w:rFonts w:cs="Arial"/>
          <w:sz w:val="22"/>
          <w:szCs w:val="22"/>
          <w:lang w:val="lv-LV"/>
        </w:rPr>
        <w:t>paraksttiesīgās</w:t>
      </w:r>
      <w:proofErr w:type="spellEnd"/>
      <w:r w:rsidR="004C4AD8" w:rsidRPr="0099730B">
        <w:rPr>
          <w:rFonts w:cs="Arial"/>
          <w:sz w:val="22"/>
          <w:szCs w:val="22"/>
          <w:lang w:val="lv-LV"/>
        </w:rPr>
        <w:t xml:space="preserve"> personas parakstu </w:t>
      </w:r>
      <w:r w:rsidRPr="0099730B">
        <w:rPr>
          <w:rFonts w:cs="Arial"/>
          <w:sz w:val="22"/>
          <w:szCs w:val="22"/>
          <w:lang w:val="lv-LV"/>
        </w:rPr>
        <w:t xml:space="preserve">uz </w:t>
      </w:r>
      <w:r w:rsidR="004C4AD8" w:rsidRPr="0099730B">
        <w:rPr>
          <w:rFonts w:cs="Arial"/>
          <w:sz w:val="22"/>
          <w:szCs w:val="22"/>
          <w:lang w:val="lv-LV"/>
        </w:rPr>
        <w:t xml:space="preserve">VAS “Latvijas dzelzceļš” </w:t>
      </w:r>
      <w:r w:rsidRPr="0099730B">
        <w:rPr>
          <w:rFonts w:cs="Arial"/>
          <w:sz w:val="22"/>
          <w:szCs w:val="22"/>
          <w:lang w:val="lv-LV"/>
        </w:rPr>
        <w:t>elektronisk</w:t>
      </w:r>
      <w:r w:rsidR="004C4AD8" w:rsidRPr="0099730B">
        <w:rPr>
          <w:rFonts w:cs="Arial"/>
          <w:sz w:val="22"/>
          <w:szCs w:val="22"/>
          <w:lang w:val="lv-LV"/>
        </w:rPr>
        <w:t>ā</w:t>
      </w:r>
      <w:r w:rsidRPr="0099730B">
        <w:rPr>
          <w:rFonts w:cs="Arial"/>
          <w:sz w:val="22"/>
          <w:szCs w:val="22"/>
          <w:lang w:val="lv-LV"/>
        </w:rPr>
        <w:t xml:space="preserve"> pasta adresi: </w:t>
      </w:r>
      <w:hyperlink r:id="rId9" w:history="1">
        <w:r w:rsidR="005777A5" w:rsidRPr="0099730B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99730B">
        <w:rPr>
          <w:rFonts w:cs="Arial"/>
          <w:sz w:val="22"/>
          <w:szCs w:val="22"/>
          <w:lang w:val="lv-LV"/>
        </w:rPr>
        <w:t>.</w:t>
      </w:r>
    </w:p>
    <w:p w14:paraId="593B2089" w14:textId="4C5C061B" w:rsidR="00450F10" w:rsidRPr="0099730B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4D6F7D07" w14:textId="77777777" w:rsidR="00450F10" w:rsidRPr="0099730B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0DBC7CF7" w14:textId="77777777" w:rsidR="0075780A" w:rsidRPr="0099730B" w:rsidRDefault="0075780A" w:rsidP="0092275C">
      <w:pPr>
        <w:spacing w:before="0" w:line="240" w:lineRule="auto"/>
        <w:ind w:firstLine="709"/>
        <w:rPr>
          <w:rFonts w:cs="Arial"/>
          <w:sz w:val="22"/>
          <w:szCs w:val="22"/>
          <w:lang w:val="lv-LV"/>
        </w:rPr>
      </w:pPr>
    </w:p>
    <w:p w14:paraId="1DC555DC" w14:textId="289E2843" w:rsidR="005C2F4C" w:rsidRPr="0099730B" w:rsidRDefault="005C2F4C" w:rsidP="005C2F4C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99730B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99730B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99730B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99730B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pienākumu </w:t>
      </w:r>
      <w:r w:rsidR="00182BDD" w:rsidRPr="0099730B">
        <w:rPr>
          <w:rFonts w:eastAsia="Times New Roman" w:cs="Arial"/>
          <w:i/>
          <w:iCs/>
          <w:sz w:val="22"/>
          <w:szCs w:val="22"/>
          <w:lang w:val="lv-LV" w:eastAsia="lv-LV"/>
        </w:rPr>
        <w:t>veik</w:t>
      </w:r>
      <w:r w:rsidRPr="0099730B">
        <w:rPr>
          <w:rFonts w:eastAsia="Times New Roman" w:cs="Arial"/>
          <w:i/>
          <w:iCs/>
          <w:sz w:val="22"/>
          <w:szCs w:val="22"/>
          <w:lang w:val="lv-LV" w:eastAsia="lv-LV"/>
        </w:rPr>
        <w:t>t darījumu par tirgus izpētē noteikto priekšmetu.</w:t>
      </w:r>
    </w:p>
    <w:p w14:paraId="28A09AE7" w14:textId="77777777" w:rsidR="005C2F4C" w:rsidRPr="0099730B" w:rsidRDefault="005C2F4C" w:rsidP="00E1565A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99730B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sectPr w:rsidR="005C2F4C" w:rsidRPr="0099730B" w:rsidSect="0099730B">
      <w:footerReference w:type="default" r:id="rId10"/>
      <w:pgSz w:w="11900" w:h="16840"/>
      <w:pgMar w:top="1134" w:right="1134" w:bottom="993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474A" w14:textId="77777777" w:rsidR="003E60B8" w:rsidRDefault="003E60B8" w:rsidP="001F7D81">
      <w:pPr>
        <w:spacing w:before="0" w:line="240" w:lineRule="auto"/>
      </w:pPr>
      <w:r>
        <w:separator/>
      </w:r>
    </w:p>
  </w:endnote>
  <w:endnote w:type="continuationSeparator" w:id="0">
    <w:p w14:paraId="3C1DE7C6" w14:textId="77777777" w:rsidR="003E60B8" w:rsidRDefault="003E60B8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00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092AE" w14:textId="27DC89B0" w:rsidR="0099730B" w:rsidRDefault="0099730B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081668" w14:textId="77777777" w:rsidR="0099730B" w:rsidRDefault="0099730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3383" w14:textId="77777777" w:rsidR="003E60B8" w:rsidRDefault="003E60B8" w:rsidP="001F7D81">
      <w:pPr>
        <w:spacing w:before="0" w:line="240" w:lineRule="auto"/>
      </w:pPr>
      <w:r>
        <w:separator/>
      </w:r>
    </w:p>
  </w:footnote>
  <w:footnote w:type="continuationSeparator" w:id="0">
    <w:p w14:paraId="7E576804" w14:textId="77777777" w:rsidR="003E60B8" w:rsidRDefault="003E60B8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E3030A"/>
    <w:multiLevelType w:val="hybridMultilevel"/>
    <w:tmpl w:val="3D565FB4"/>
    <w:lvl w:ilvl="0" w:tplc="A0AEE59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373631">
    <w:abstractNumId w:val="0"/>
  </w:num>
  <w:num w:numId="2" w16cid:durableId="1365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6169"/>
    <w:rsid w:val="00027C01"/>
    <w:rsid w:val="00032AF8"/>
    <w:rsid w:val="00033A42"/>
    <w:rsid w:val="00055DB7"/>
    <w:rsid w:val="000638BF"/>
    <w:rsid w:val="00072591"/>
    <w:rsid w:val="00073DC2"/>
    <w:rsid w:val="000837B1"/>
    <w:rsid w:val="00091C9D"/>
    <w:rsid w:val="000A04F0"/>
    <w:rsid w:val="000A4686"/>
    <w:rsid w:val="000B381B"/>
    <w:rsid w:val="000E0069"/>
    <w:rsid w:val="000E726B"/>
    <w:rsid w:val="000F4724"/>
    <w:rsid w:val="00106264"/>
    <w:rsid w:val="00110046"/>
    <w:rsid w:val="0012096C"/>
    <w:rsid w:val="00124F16"/>
    <w:rsid w:val="00130435"/>
    <w:rsid w:val="00131CF2"/>
    <w:rsid w:val="00146A1C"/>
    <w:rsid w:val="00182BDD"/>
    <w:rsid w:val="00185033"/>
    <w:rsid w:val="00194125"/>
    <w:rsid w:val="001B744C"/>
    <w:rsid w:val="001E09F7"/>
    <w:rsid w:val="001F7D81"/>
    <w:rsid w:val="00202505"/>
    <w:rsid w:val="0020739A"/>
    <w:rsid w:val="00210BC8"/>
    <w:rsid w:val="002263B9"/>
    <w:rsid w:val="00241808"/>
    <w:rsid w:val="00245947"/>
    <w:rsid w:val="00252865"/>
    <w:rsid w:val="002843C1"/>
    <w:rsid w:val="002933CC"/>
    <w:rsid w:val="002A703E"/>
    <w:rsid w:val="002A7318"/>
    <w:rsid w:val="002A7863"/>
    <w:rsid w:val="002B069C"/>
    <w:rsid w:val="002C0BFE"/>
    <w:rsid w:val="002D73E4"/>
    <w:rsid w:val="002F2E70"/>
    <w:rsid w:val="00301876"/>
    <w:rsid w:val="0030526B"/>
    <w:rsid w:val="003311BE"/>
    <w:rsid w:val="0033174E"/>
    <w:rsid w:val="00340961"/>
    <w:rsid w:val="00342E6C"/>
    <w:rsid w:val="00345912"/>
    <w:rsid w:val="00373065"/>
    <w:rsid w:val="00380084"/>
    <w:rsid w:val="00380AF2"/>
    <w:rsid w:val="00390A22"/>
    <w:rsid w:val="0039578E"/>
    <w:rsid w:val="003A293B"/>
    <w:rsid w:val="003B2848"/>
    <w:rsid w:val="003D5CCA"/>
    <w:rsid w:val="003E60B8"/>
    <w:rsid w:val="00401156"/>
    <w:rsid w:val="00412EBA"/>
    <w:rsid w:val="00422EF7"/>
    <w:rsid w:val="004370C2"/>
    <w:rsid w:val="004474B6"/>
    <w:rsid w:val="00450F10"/>
    <w:rsid w:val="004602FE"/>
    <w:rsid w:val="00483141"/>
    <w:rsid w:val="00494FEC"/>
    <w:rsid w:val="004A76AF"/>
    <w:rsid w:val="004B46B1"/>
    <w:rsid w:val="004C0469"/>
    <w:rsid w:val="004C4AD8"/>
    <w:rsid w:val="004D5C8A"/>
    <w:rsid w:val="004D7947"/>
    <w:rsid w:val="004E61DA"/>
    <w:rsid w:val="004F4045"/>
    <w:rsid w:val="004F5282"/>
    <w:rsid w:val="005019B1"/>
    <w:rsid w:val="00501C39"/>
    <w:rsid w:val="00503AFF"/>
    <w:rsid w:val="00532F27"/>
    <w:rsid w:val="005419AB"/>
    <w:rsid w:val="00544512"/>
    <w:rsid w:val="0057110F"/>
    <w:rsid w:val="005715EB"/>
    <w:rsid w:val="0057184B"/>
    <w:rsid w:val="00575387"/>
    <w:rsid w:val="005777A5"/>
    <w:rsid w:val="0058089D"/>
    <w:rsid w:val="0058738B"/>
    <w:rsid w:val="00595ABC"/>
    <w:rsid w:val="005A6240"/>
    <w:rsid w:val="005B0AF6"/>
    <w:rsid w:val="005C2F4C"/>
    <w:rsid w:val="005C6615"/>
    <w:rsid w:val="005E3A8A"/>
    <w:rsid w:val="005F2EA1"/>
    <w:rsid w:val="005F30E9"/>
    <w:rsid w:val="005F3910"/>
    <w:rsid w:val="005F4FBA"/>
    <w:rsid w:val="005F649B"/>
    <w:rsid w:val="005F72F3"/>
    <w:rsid w:val="006341C9"/>
    <w:rsid w:val="00644C4F"/>
    <w:rsid w:val="006462A5"/>
    <w:rsid w:val="00647CFD"/>
    <w:rsid w:val="0065305E"/>
    <w:rsid w:val="00653143"/>
    <w:rsid w:val="006549C0"/>
    <w:rsid w:val="0065565D"/>
    <w:rsid w:val="006579ED"/>
    <w:rsid w:val="00677880"/>
    <w:rsid w:val="00680F4A"/>
    <w:rsid w:val="0068601A"/>
    <w:rsid w:val="00694590"/>
    <w:rsid w:val="00696423"/>
    <w:rsid w:val="006C537D"/>
    <w:rsid w:val="006D3D2D"/>
    <w:rsid w:val="006E19FC"/>
    <w:rsid w:val="006F4707"/>
    <w:rsid w:val="00721583"/>
    <w:rsid w:val="00722283"/>
    <w:rsid w:val="00724834"/>
    <w:rsid w:val="00752A37"/>
    <w:rsid w:val="0075780A"/>
    <w:rsid w:val="007633BA"/>
    <w:rsid w:val="007657C3"/>
    <w:rsid w:val="007719C7"/>
    <w:rsid w:val="007839FD"/>
    <w:rsid w:val="007A1385"/>
    <w:rsid w:val="007A74F0"/>
    <w:rsid w:val="007B1FBD"/>
    <w:rsid w:val="007B3EB2"/>
    <w:rsid w:val="007D303A"/>
    <w:rsid w:val="007D7158"/>
    <w:rsid w:val="007E1D02"/>
    <w:rsid w:val="007E3953"/>
    <w:rsid w:val="007F5EF6"/>
    <w:rsid w:val="00814EE7"/>
    <w:rsid w:val="00826350"/>
    <w:rsid w:val="00852121"/>
    <w:rsid w:val="00856FBA"/>
    <w:rsid w:val="00871F5B"/>
    <w:rsid w:val="00874BD0"/>
    <w:rsid w:val="008B5B54"/>
    <w:rsid w:val="008C2BA1"/>
    <w:rsid w:val="008C5896"/>
    <w:rsid w:val="008D1BFC"/>
    <w:rsid w:val="008E16B6"/>
    <w:rsid w:val="00904BD7"/>
    <w:rsid w:val="00917BE6"/>
    <w:rsid w:val="0092275C"/>
    <w:rsid w:val="009350F6"/>
    <w:rsid w:val="0093668F"/>
    <w:rsid w:val="00957BEA"/>
    <w:rsid w:val="009628F0"/>
    <w:rsid w:val="00986165"/>
    <w:rsid w:val="00987583"/>
    <w:rsid w:val="0099730B"/>
    <w:rsid w:val="009B4A66"/>
    <w:rsid w:val="009C1CD0"/>
    <w:rsid w:val="009C55E7"/>
    <w:rsid w:val="009E4EB2"/>
    <w:rsid w:val="009F0987"/>
    <w:rsid w:val="009F2A88"/>
    <w:rsid w:val="009F3DD2"/>
    <w:rsid w:val="00A149AB"/>
    <w:rsid w:val="00A21F41"/>
    <w:rsid w:val="00A26036"/>
    <w:rsid w:val="00A379A4"/>
    <w:rsid w:val="00A7481C"/>
    <w:rsid w:val="00A80BB6"/>
    <w:rsid w:val="00A91957"/>
    <w:rsid w:val="00A919B7"/>
    <w:rsid w:val="00AC4E71"/>
    <w:rsid w:val="00AD0054"/>
    <w:rsid w:val="00AD0AC2"/>
    <w:rsid w:val="00AD0E0D"/>
    <w:rsid w:val="00AD2BFB"/>
    <w:rsid w:val="00AE39C8"/>
    <w:rsid w:val="00AF476F"/>
    <w:rsid w:val="00AF7705"/>
    <w:rsid w:val="00AF7DAC"/>
    <w:rsid w:val="00B213BF"/>
    <w:rsid w:val="00B363ED"/>
    <w:rsid w:val="00B47661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8212B"/>
    <w:rsid w:val="00B82D43"/>
    <w:rsid w:val="00B83CE7"/>
    <w:rsid w:val="00B903CC"/>
    <w:rsid w:val="00B959F9"/>
    <w:rsid w:val="00BA466F"/>
    <w:rsid w:val="00BB27AE"/>
    <w:rsid w:val="00BB2EF2"/>
    <w:rsid w:val="00BB51B8"/>
    <w:rsid w:val="00BB55A7"/>
    <w:rsid w:val="00BB6EF3"/>
    <w:rsid w:val="00C0087E"/>
    <w:rsid w:val="00C15F7A"/>
    <w:rsid w:val="00C20EC3"/>
    <w:rsid w:val="00C23656"/>
    <w:rsid w:val="00C2461A"/>
    <w:rsid w:val="00C36DCF"/>
    <w:rsid w:val="00C46F20"/>
    <w:rsid w:val="00C74C7B"/>
    <w:rsid w:val="00C76B4E"/>
    <w:rsid w:val="00C96045"/>
    <w:rsid w:val="00CB4467"/>
    <w:rsid w:val="00CC345D"/>
    <w:rsid w:val="00CC7767"/>
    <w:rsid w:val="00CF5013"/>
    <w:rsid w:val="00D249F9"/>
    <w:rsid w:val="00D303FB"/>
    <w:rsid w:val="00D5515C"/>
    <w:rsid w:val="00D55894"/>
    <w:rsid w:val="00D8061B"/>
    <w:rsid w:val="00D850D0"/>
    <w:rsid w:val="00D8771B"/>
    <w:rsid w:val="00D90C19"/>
    <w:rsid w:val="00D93F92"/>
    <w:rsid w:val="00D970F5"/>
    <w:rsid w:val="00DA269F"/>
    <w:rsid w:val="00DB1623"/>
    <w:rsid w:val="00DE47FD"/>
    <w:rsid w:val="00DF232D"/>
    <w:rsid w:val="00E01091"/>
    <w:rsid w:val="00E0373F"/>
    <w:rsid w:val="00E05167"/>
    <w:rsid w:val="00E1565A"/>
    <w:rsid w:val="00E26CF6"/>
    <w:rsid w:val="00E44BA5"/>
    <w:rsid w:val="00E54F15"/>
    <w:rsid w:val="00E63802"/>
    <w:rsid w:val="00E67897"/>
    <w:rsid w:val="00E730BA"/>
    <w:rsid w:val="00E96FC9"/>
    <w:rsid w:val="00E9776D"/>
    <w:rsid w:val="00EA4E9F"/>
    <w:rsid w:val="00EB5A3F"/>
    <w:rsid w:val="00EC0F61"/>
    <w:rsid w:val="00F030C2"/>
    <w:rsid w:val="00F40692"/>
    <w:rsid w:val="00F44C7C"/>
    <w:rsid w:val="00F45B4D"/>
    <w:rsid w:val="00F522F8"/>
    <w:rsid w:val="00F574DB"/>
    <w:rsid w:val="00F7743E"/>
    <w:rsid w:val="00F84FF5"/>
    <w:rsid w:val="00F87F01"/>
    <w:rsid w:val="00F9599D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93E8-0777-47BD-8B15-ED9F3C83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3</Pages>
  <Words>3146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4931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2</cp:revision>
  <cp:lastPrinted>2019-03-25T16:24:00Z</cp:lastPrinted>
  <dcterms:created xsi:type="dcterms:W3CDTF">2023-02-20T13:15:00Z</dcterms:created>
  <dcterms:modified xsi:type="dcterms:W3CDTF">2023-02-20T13:15:00Z</dcterms:modified>
</cp:coreProperties>
</file>