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C21309" w:rsidRDefault="00503AFF" w:rsidP="00722283">
      <w:pPr>
        <w:rPr>
          <w:lang w:val="lv-LV"/>
        </w:rPr>
      </w:pPr>
      <w:r w:rsidRPr="00C21309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C21309" w:rsidRDefault="007719C7" w:rsidP="00722283">
      <w:pPr>
        <w:rPr>
          <w:lang w:val="lv-LV"/>
        </w:rPr>
      </w:pPr>
    </w:p>
    <w:p w14:paraId="4AE4FA0A" w14:textId="77777777" w:rsidR="00FF460F" w:rsidRPr="00C21309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3839231E" w14:textId="77777777" w:rsidR="00B8212B" w:rsidRPr="00C21309" w:rsidRDefault="00B8212B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423CFC34" w14:textId="77777777" w:rsidR="00503AFF" w:rsidRPr="00C21309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C21309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C21309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3B52A75A" w:rsidR="00342E6C" w:rsidRPr="00C21309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C21309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C21309">
        <w:rPr>
          <w:rFonts w:cs="Arial"/>
          <w:sz w:val="22"/>
          <w:szCs w:val="22"/>
          <w:lang w:val="lv-LV"/>
        </w:rPr>
        <w:t>tirgus</w:t>
      </w:r>
      <w:r w:rsidR="0075780A" w:rsidRPr="00C21309">
        <w:rPr>
          <w:rFonts w:cs="Arial"/>
          <w:sz w:val="22"/>
          <w:szCs w:val="22"/>
          <w:lang w:val="lv-LV"/>
        </w:rPr>
        <w:t xml:space="preserve"> izpēti</w:t>
      </w:r>
      <w:r w:rsidRPr="00C21309">
        <w:rPr>
          <w:rFonts w:cs="Arial"/>
          <w:sz w:val="22"/>
          <w:szCs w:val="22"/>
          <w:lang w:val="lv-LV"/>
        </w:rPr>
        <w:t xml:space="preserve"> </w:t>
      </w:r>
      <w:r w:rsidR="00AC604A">
        <w:rPr>
          <w:rFonts w:cs="Arial"/>
          <w:sz w:val="22"/>
          <w:szCs w:val="22"/>
          <w:lang w:val="lv-LV"/>
        </w:rPr>
        <w:t>“</w:t>
      </w:r>
      <w:r w:rsidR="00AC604A" w:rsidRPr="00AC604A">
        <w:rPr>
          <w:rFonts w:cs="Arial"/>
          <w:b/>
          <w:sz w:val="22"/>
          <w:szCs w:val="22"/>
          <w:lang w:val="lv-LV"/>
        </w:rPr>
        <w:t>I</w:t>
      </w:r>
      <w:r w:rsidR="00E05167" w:rsidRPr="00AC604A">
        <w:rPr>
          <w:rFonts w:cs="Arial"/>
          <w:b/>
          <w:sz w:val="22"/>
          <w:szCs w:val="22"/>
          <w:lang w:val="lv-LV"/>
        </w:rPr>
        <w:t xml:space="preserve">mpregnēto koka stabu </w:t>
      </w:r>
      <w:r w:rsidR="00026169" w:rsidRPr="00AC604A">
        <w:rPr>
          <w:rFonts w:cs="Arial"/>
          <w:b/>
          <w:sz w:val="22"/>
          <w:szCs w:val="22"/>
          <w:lang w:val="lv-LV"/>
        </w:rPr>
        <w:t>piegād</w:t>
      </w:r>
      <w:r w:rsidR="00AC604A" w:rsidRPr="00AC604A">
        <w:rPr>
          <w:rFonts w:cs="Arial"/>
          <w:b/>
          <w:sz w:val="22"/>
          <w:szCs w:val="22"/>
          <w:lang w:val="lv-LV"/>
        </w:rPr>
        <w:t>e</w:t>
      </w:r>
      <w:r w:rsidR="00AC604A">
        <w:rPr>
          <w:rFonts w:cs="Arial"/>
          <w:sz w:val="22"/>
          <w:szCs w:val="22"/>
          <w:lang w:val="lv-LV"/>
        </w:rPr>
        <w:t>” (turpmāk – tirgus izpēte)</w:t>
      </w:r>
      <w:r w:rsidR="00026169" w:rsidRPr="00C21309">
        <w:rPr>
          <w:rFonts w:cs="Arial"/>
          <w:sz w:val="22"/>
          <w:szCs w:val="22"/>
          <w:lang w:val="lv-LV"/>
        </w:rPr>
        <w:t xml:space="preserve"> </w:t>
      </w:r>
      <w:r w:rsidRPr="00C21309">
        <w:rPr>
          <w:rFonts w:cs="Arial"/>
          <w:sz w:val="22"/>
          <w:szCs w:val="22"/>
          <w:lang w:val="lv-LV"/>
        </w:rPr>
        <w:t>saskaņā ar zemāk pievienoto sarakstu</w:t>
      </w:r>
      <w:r w:rsidR="00B65A58">
        <w:rPr>
          <w:rFonts w:cs="Arial"/>
          <w:sz w:val="22"/>
          <w:szCs w:val="22"/>
          <w:lang w:val="lv-LV"/>
        </w:rPr>
        <w:t xml:space="preserve"> un noteiktām kvalitātes prasībām</w:t>
      </w:r>
      <w:r w:rsidRPr="00C21309">
        <w:rPr>
          <w:rFonts w:cs="Arial"/>
          <w:sz w:val="22"/>
          <w:szCs w:val="22"/>
          <w:lang w:val="lv-LV"/>
        </w:rPr>
        <w:t xml:space="preserve"> (</w:t>
      </w:r>
      <w:r w:rsidR="0096559A">
        <w:rPr>
          <w:rFonts w:cs="Arial"/>
          <w:sz w:val="22"/>
          <w:szCs w:val="22"/>
          <w:lang w:val="lv-LV"/>
        </w:rPr>
        <w:t>pielikumā</w:t>
      </w:r>
      <w:r w:rsidRPr="00C21309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C21309">
        <w:rPr>
          <w:rFonts w:cs="Arial"/>
          <w:sz w:val="22"/>
          <w:szCs w:val="22"/>
          <w:lang w:val="lv-LV"/>
        </w:rPr>
        <w:t>komercpiedāvājumu</w:t>
      </w:r>
      <w:proofErr w:type="spellEnd"/>
      <w:r w:rsidRPr="00C21309">
        <w:rPr>
          <w:rFonts w:cs="Arial"/>
          <w:sz w:val="22"/>
          <w:szCs w:val="22"/>
          <w:lang w:val="lv-LV"/>
        </w:rPr>
        <w:t>: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552"/>
        <w:gridCol w:w="3529"/>
        <w:gridCol w:w="1023"/>
        <w:gridCol w:w="583"/>
        <w:gridCol w:w="585"/>
        <w:gridCol w:w="733"/>
        <w:gridCol w:w="1172"/>
        <w:gridCol w:w="1143"/>
      </w:tblGrid>
      <w:tr w:rsidR="00A668AC" w:rsidRPr="00C21309" w14:paraId="610353FE" w14:textId="77777777" w:rsidTr="00EE514F">
        <w:trPr>
          <w:trHeight w:val="288"/>
        </w:trPr>
        <w:tc>
          <w:tcPr>
            <w:tcW w:w="29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8590C" w14:textId="77777777" w:rsidR="00544512" w:rsidRPr="00C21309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 xml:space="preserve">N. P. K. </w:t>
            </w:r>
          </w:p>
        </w:tc>
        <w:tc>
          <w:tcPr>
            <w:tcW w:w="18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D0431" w14:textId="77777777" w:rsidR="00544512" w:rsidRPr="00C21309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Preces nosaukums, specifikācija</w:t>
            </w:r>
          </w:p>
        </w:tc>
        <w:tc>
          <w:tcPr>
            <w:tcW w:w="5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695AE" w14:textId="77777777" w:rsidR="00544512" w:rsidRPr="00C21309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Mēr-vienība</w:t>
            </w:r>
          </w:p>
        </w:tc>
        <w:tc>
          <w:tcPr>
            <w:tcW w:w="10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D911CD" w14:textId="55834B7D" w:rsidR="00544512" w:rsidRPr="00C21309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Daudzums</w:t>
            </w:r>
            <w:r w:rsidR="00130435" w:rsidRPr="00C21309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*</w:t>
            </w:r>
          </w:p>
        </w:tc>
        <w:tc>
          <w:tcPr>
            <w:tcW w:w="6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93ED" w14:textId="77777777" w:rsidR="00544512" w:rsidRPr="00C21309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Cena par vienību, EUR (bez PVN)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3DC9D" w14:textId="77777777" w:rsidR="00544512" w:rsidRPr="00C21309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Summa, EUR (bez PVN)</w:t>
            </w:r>
          </w:p>
        </w:tc>
      </w:tr>
      <w:tr w:rsidR="00EE514F" w:rsidRPr="00C21309" w14:paraId="084DC40F" w14:textId="77777777" w:rsidTr="00EE514F">
        <w:trPr>
          <w:cantSplit/>
          <w:trHeight w:val="1091"/>
        </w:trPr>
        <w:tc>
          <w:tcPr>
            <w:tcW w:w="29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BA12C2" w14:textId="77777777" w:rsidR="00A668AC" w:rsidRPr="00C21309" w:rsidRDefault="00A668AC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89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6E945D" w14:textId="77777777" w:rsidR="00A668AC" w:rsidRPr="00C21309" w:rsidRDefault="00A668AC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3E7F3C" w14:textId="77777777" w:rsidR="00A668AC" w:rsidRPr="00C21309" w:rsidRDefault="00A668AC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41DA1" w14:textId="77777777" w:rsidR="00A668AC" w:rsidRPr="00C21309" w:rsidRDefault="00A668AC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EPR-1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ED8CB" w14:textId="27236783" w:rsidR="00A668AC" w:rsidRPr="00C21309" w:rsidRDefault="00A668AC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EBFC779" w14:textId="77777777" w:rsidR="00A668AC" w:rsidRPr="00C21309" w:rsidRDefault="00A668AC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</w:t>
            </w:r>
          </w:p>
        </w:tc>
        <w:tc>
          <w:tcPr>
            <w:tcW w:w="62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642C" w14:textId="77777777" w:rsidR="00A668AC" w:rsidRPr="00C21309" w:rsidRDefault="00A668AC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61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939F2A" w14:textId="77777777" w:rsidR="00A668AC" w:rsidRPr="00C21309" w:rsidRDefault="00A668AC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C34AB8" w:rsidRPr="00C21309" w14:paraId="22802867" w14:textId="77777777" w:rsidTr="00AB2FF0">
        <w:trPr>
          <w:trHeight w:val="552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80F2F" w14:textId="2F9E870B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0B7ECC" w14:textId="1D750DCD" w:rsidR="00C34AB8" w:rsidRPr="00C21309" w:rsidRDefault="00C34AB8" w:rsidP="00C34AB8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C21309">
              <w:rPr>
                <w:rFonts w:cs="Arial"/>
                <w:sz w:val="22"/>
                <w:szCs w:val="22"/>
                <w:lang w:val="lv-LV"/>
              </w:rPr>
              <w:t>Impregnēti stabi (garums 9m, diametrs tievgalī 160mm)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C5AB6" w14:textId="77777777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2AB" w14:textId="54AA9C06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E5B2" w14:textId="30306A26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5D93C3" w14:textId="36023883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F3A" w14:textId="77777777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F9051" w14:textId="77777777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C34AB8" w:rsidRPr="00C21309" w14:paraId="0CAA9DF2" w14:textId="77777777" w:rsidTr="00AB2FF0">
        <w:trPr>
          <w:trHeight w:val="552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56C17" w14:textId="03D13059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072C4" w14:textId="2E9F2FAA" w:rsidR="00C34AB8" w:rsidRPr="00C21309" w:rsidRDefault="00C34AB8" w:rsidP="00C34AB8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C21309">
              <w:rPr>
                <w:rFonts w:cs="Arial"/>
                <w:sz w:val="22"/>
                <w:szCs w:val="22"/>
                <w:lang w:val="lv-LV"/>
              </w:rPr>
              <w:t>Impregnēti stabi (garums 10m, diametrs tievgalī 220mm)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F9CD3" w14:textId="16F2D363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1967" w14:textId="4C64F0B9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01FC" w14:textId="5773B688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AC040D" w14:textId="0E3EC0A0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5FF4" w14:textId="77777777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20FF3" w14:textId="77777777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C34AB8" w:rsidRPr="00C21309" w14:paraId="724B78B4" w14:textId="77777777" w:rsidTr="00AB2FF0">
        <w:trPr>
          <w:trHeight w:val="564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ABB01" w14:textId="0DEE2B2C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04E90F" w14:textId="58B21D08" w:rsidR="00C34AB8" w:rsidRPr="00C21309" w:rsidRDefault="00C34AB8" w:rsidP="00C34AB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cs="Arial"/>
                <w:color w:val="000000"/>
                <w:sz w:val="22"/>
                <w:szCs w:val="22"/>
                <w:lang w:val="lv-LV"/>
              </w:rPr>
              <w:t>Impregnēti stabi (garums 12m, diametrs tievgalī 200mm)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DBA2B" w14:textId="77777777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5AB" w14:textId="48BD798E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87E5" w14:textId="27ED18F9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2E29D2" w14:textId="18707519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7A9" w14:textId="77777777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374FA" w14:textId="77777777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C34AB8" w:rsidRPr="00C21309" w14:paraId="4A2E75DA" w14:textId="4DE3E0DF" w:rsidTr="00C34AB8">
        <w:trPr>
          <w:trHeight w:val="300"/>
        </w:trPr>
        <w:tc>
          <w:tcPr>
            <w:tcW w:w="438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28215" w14:textId="582AFA4D" w:rsidR="00C34AB8" w:rsidRPr="00C21309" w:rsidRDefault="00C34AB8" w:rsidP="00C34AB8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KOPĀ: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22540A9" w14:textId="77777777" w:rsidR="00C34AB8" w:rsidRPr="00C21309" w:rsidRDefault="00C34AB8" w:rsidP="00C34AB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2130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</w:tbl>
    <w:p w14:paraId="735E2F31" w14:textId="77777777" w:rsidR="00B65A58" w:rsidRPr="00C21309" w:rsidRDefault="00B65A58" w:rsidP="00B65A58">
      <w:pPr>
        <w:spacing w:before="120" w:line="240" w:lineRule="auto"/>
        <w:rPr>
          <w:rFonts w:cs="Arial"/>
          <w:b/>
          <w:bCs/>
          <w:sz w:val="22"/>
          <w:u w:val="single"/>
          <w:lang w:val="lv-LV"/>
        </w:rPr>
      </w:pPr>
      <w:bookmarkStart w:id="0" w:name="_Hlk118702521"/>
      <w:r w:rsidRPr="00C21309">
        <w:rPr>
          <w:rFonts w:cs="Arial"/>
          <w:b/>
          <w:bCs/>
          <w:sz w:val="22"/>
          <w:szCs w:val="22"/>
          <w:lang w:val="lv-LV"/>
        </w:rPr>
        <w:t>*</w:t>
      </w:r>
      <w:r w:rsidRPr="00C21309">
        <w:rPr>
          <w:rFonts w:cs="Arial"/>
          <w:b/>
          <w:bCs/>
          <w:sz w:val="22"/>
          <w:lang w:val="lv-LV"/>
        </w:rPr>
        <w:t xml:space="preserve"> </w:t>
      </w:r>
      <w:r w:rsidRPr="00C21309">
        <w:rPr>
          <w:rFonts w:cs="Arial"/>
          <w:b/>
          <w:bCs/>
          <w:sz w:val="22"/>
          <w:u w:val="single"/>
          <w:lang w:val="lv-LV"/>
        </w:rPr>
        <w:t xml:space="preserve">Piegādes adreses: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23"/>
      </w:tblGrid>
      <w:tr w:rsidR="00B65A58" w:rsidRPr="00C21309" w14:paraId="4518FE39" w14:textId="77777777" w:rsidTr="00EE514F">
        <w:tc>
          <w:tcPr>
            <w:tcW w:w="2977" w:type="dxa"/>
          </w:tcPr>
          <w:p w14:paraId="214443DC" w14:textId="77777777" w:rsidR="00B65A58" w:rsidRPr="00C21309" w:rsidRDefault="00B65A58" w:rsidP="00B65A58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C2130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Rīgas reģionālais centrs </w:t>
            </w:r>
            <w:r w:rsidRPr="00C213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(EPR-1):</w:t>
            </w:r>
          </w:p>
        </w:tc>
        <w:tc>
          <w:tcPr>
            <w:tcW w:w="5923" w:type="dxa"/>
          </w:tcPr>
          <w:p w14:paraId="52EC0F6F" w14:textId="77777777" w:rsidR="00B65A58" w:rsidRPr="00C21309" w:rsidRDefault="00B65A58" w:rsidP="006E5513">
            <w:pPr>
              <w:spacing w:before="0" w:line="240" w:lineRule="auto"/>
              <w:rPr>
                <w:sz w:val="22"/>
                <w:szCs w:val="22"/>
                <w:lang w:val="lv-LV"/>
              </w:rPr>
            </w:pPr>
            <w:r w:rsidRPr="00C21309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Rīgas reģionālais centrs Krūzes iela 47a, Rīgā</w:t>
            </w:r>
          </w:p>
        </w:tc>
      </w:tr>
      <w:tr w:rsidR="00B65A58" w:rsidRPr="00AC604A" w14:paraId="590BB053" w14:textId="77777777" w:rsidTr="00EE514F">
        <w:tc>
          <w:tcPr>
            <w:tcW w:w="2977" w:type="dxa"/>
          </w:tcPr>
          <w:p w14:paraId="6ADDB5EF" w14:textId="77777777" w:rsidR="00B65A58" w:rsidRPr="00C21309" w:rsidRDefault="00B65A58" w:rsidP="00B65A58">
            <w:pPr>
              <w:spacing w:before="0" w:line="240" w:lineRule="auto"/>
              <w:jc w:val="right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C2130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</w:t>
            </w:r>
            <w:r w:rsidRPr="00C213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 (EPR-2):</w:t>
            </w:r>
          </w:p>
        </w:tc>
        <w:tc>
          <w:tcPr>
            <w:tcW w:w="5923" w:type="dxa"/>
          </w:tcPr>
          <w:p w14:paraId="56997ADF" w14:textId="77777777" w:rsidR="00B65A58" w:rsidRPr="00C21309" w:rsidRDefault="00B65A58" w:rsidP="006E5513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C21309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Daugavpils reģionālais centrs, 1.Pasažieru ielā 12, Daugavpilī;</w:t>
            </w:r>
          </w:p>
        </w:tc>
      </w:tr>
    </w:tbl>
    <w:p w14:paraId="63CF5CA1" w14:textId="79598A87" w:rsidR="00B65A58" w:rsidRPr="00EE514F" w:rsidRDefault="00EE514F" w:rsidP="00EE514F">
      <w:pPr>
        <w:spacing w:before="120" w:after="120" w:line="240" w:lineRule="auto"/>
        <w:rPr>
          <w:rFonts w:cs="Arial"/>
          <w:sz w:val="22"/>
          <w:szCs w:val="22"/>
          <w:u w:val="single"/>
          <w:lang w:val="lv-LV"/>
        </w:rPr>
      </w:pPr>
      <w:r w:rsidRPr="00EE514F">
        <w:rPr>
          <w:rFonts w:cs="Arial"/>
          <w:sz w:val="22"/>
          <w:szCs w:val="22"/>
          <w:u w:val="single"/>
          <w:lang w:val="lv-LV"/>
        </w:rPr>
        <w:t xml:space="preserve">! </w:t>
      </w:r>
      <w:r w:rsidR="00B65A58" w:rsidRPr="00EE514F">
        <w:rPr>
          <w:rFonts w:cs="Arial"/>
          <w:sz w:val="22"/>
          <w:szCs w:val="22"/>
          <w:u w:val="single"/>
          <w:lang w:val="lv-LV"/>
        </w:rPr>
        <w:t>P</w:t>
      </w:r>
      <w:r w:rsidR="000A0A28" w:rsidRPr="00EE514F">
        <w:rPr>
          <w:rFonts w:cs="Arial"/>
          <w:sz w:val="22"/>
          <w:szCs w:val="22"/>
          <w:u w:val="single"/>
          <w:lang w:val="lv-LV"/>
        </w:rPr>
        <w:t>i</w:t>
      </w:r>
      <w:r w:rsidR="00B65A58" w:rsidRPr="00EE514F">
        <w:rPr>
          <w:rFonts w:cs="Arial"/>
          <w:sz w:val="22"/>
          <w:szCs w:val="22"/>
          <w:u w:val="single"/>
          <w:lang w:val="lv-LV"/>
        </w:rPr>
        <w:t xml:space="preserve">edāvājumu var iesniegt gan par visu </w:t>
      </w:r>
      <w:r w:rsidR="00AC604A">
        <w:rPr>
          <w:rFonts w:cs="Arial"/>
          <w:sz w:val="22"/>
          <w:szCs w:val="22"/>
          <w:u w:val="single"/>
          <w:lang w:val="lv-LV"/>
        </w:rPr>
        <w:t>tirgus izpētes p</w:t>
      </w:r>
      <w:r w:rsidR="00B65A58" w:rsidRPr="00EE514F">
        <w:rPr>
          <w:rFonts w:cs="Arial"/>
          <w:sz w:val="22"/>
          <w:szCs w:val="22"/>
          <w:u w:val="single"/>
          <w:lang w:val="lv-LV"/>
        </w:rPr>
        <w:t xml:space="preserve">riekšmetu kopumā, gan par atsevišķām tā pozīcijām. Lūdzu norādīt, ja </w:t>
      </w:r>
      <w:proofErr w:type="spellStart"/>
      <w:r w:rsidR="00B65A58" w:rsidRPr="00EE514F">
        <w:rPr>
          <w:rFonts w:cs="Arial"/>
          <w:sz w:val="22"/>
          <w:szCs w:val="22"/>
          <w:u w:val="single"/>
          <w:lang w:val="lv-LV"/>
        </w:rPr>
        <w:t>komercpiedāvājums</w:t>
      </w:r>
      <w:proofErr w:type="spellEnd"/>
      <w:r w:rsidR="00B65A58" w:rsidRPr="00EE514F">
        <w:rPr>
          <w:rFonts w:cs="Arial"/>
          <w:sz w:val="22"/>
          <w:szCs w:val="22"/>
          <w:u w:val="single"/>
          <w:lang w:val="lv-LV"/>
        </w:rPr>
        <w:t xml:space="preserve"> ir spēkā piedāvātajām </w:t>
      </w:r>
      <w:r w:rsidR="00AC604A">
        <w:rPr>
          <w:rFonts w:cs="Arial"/>
          <w:sz w:val="22"/>
          <w:szCs w:val="22"/>
          <w:u w:val="single"/>
          <w:lang w:val="lv-LV"/>
        </w:rPr>
        <w:t xml:space="preserve">tirgus izpētes </w:t>
      </w:r>
      <w:r w:rsidR="00B65A58" w:rsidRPr="00EE514F">
        <w:rPr>
          <w:rFonts w:cs="Arial"/>
          <w:sz w:val="22"/>
          <w:szCs w:val="22"/>
          <w:u w:val="single"/>
          <w:lang w:val="lv-LV"/>
        </w:rPr>
        <w:t>pozīcijām kopumā, pretējā gadījumā Pasūtītājs patur tiesības tirgus izpētes rezultātā veikt darījumu par atsevišķām pozīcijām.</w:t>
      </w:r>
    </w:p>
    <w:bookmarkEnd w:id="0"/>
    <w:p w14:paraId="7F3E1340" w14:textId="3CCCF700" w:rsidR="004F5282" w:rsidRPr="00C21309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C21309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C21309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C21309">
        <w:rPr>
          <w:rFonts w:cs="Arial"/>
          <w:sz w:val="22"/>
          <w:szCs w:val="22"/>
          <w:lang w:val="lv-LV"/>
        </w:rPr>
        <w:t xml:space="preserve">: </w:t>
      </w:r>
      <w:r w:rsidR="002A7318" w:rsidRPr="00C21309">
        <w:rPr>
          <w:rFonts w:cs="Arial"/>
          <w:b/>
          <w:bCs/>
          <w:sz w:val="22"/>
          <w:szCs w:val="22"/>
          <w:lang w:val="lv-LV"/>
        </w:rPr>
        <w:t>2</w:t>
      </w:r>
      <w:r w:rsidRPr="00C21309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 w:rsidRPr="00C21309">
        <w:rPr>
          <w:rFonts w:cs="Arial"/>
          <w:b/>
          <w:bCs/>
          <w:sz w:val="22"/>
          <w:szCs w:val="22"/>
          <w:lang w:val="lv-LV"/>
        </w:rPr>
        <w:t>divi</w:t>
      </w:r>
      <w:r w:rsidRPr="00C21309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C21309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C21309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C21309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C21309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C21309">
        <w:rPr>
          <w:rFonts w:cs="Arial"/>
          <w:sz w:val="22"/>
          <w:szCs w:val="22"/>
          <w:lang w:val="lv-LV"/>
        </w:rPr>
        <w:t xml:space="preserve"> </w:t>
      </w:r>
      <w:r w:rsidRPr="00C21309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C21309">
        <w:rPr>
          <w:rFonts w:cs="Arial"/>
          <w:sz w:val="22"/>
          <w:szCs w:val="22"/>
          <w:lang w:val="lv-LV"/>
        </w:rPr>
        <w:t>3</w:t>
      </w:r>
      <w:r w:rsidRPr="00C21309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C21309">
        <w:rPr>
          <w:rFonts w:cs="Arial"/>
          <w:sz w:val="22"/>
          <w:szCs w:val="22"/>
          <w:lang w:val="lv-LV"/>
        </w:rPr>
        <w:t>no r</w:t>
      </w:r>
      <w:r w:rsidR="004F5282" w:rsidRPr="00C21309">
        <w:rPr>
          <w:rFonts w:cs="Arial"/>
          <w:sz w:val="22"/>
          <w:szCs w:val="22"/>
          <w:lang w:val="lv-LV"/>
        </w:rPr>
        <w:t>ēķina</w:t>
      </w:r>
      <w:r w:rsidR="007F5EF6" w:rsidRPr="00C21309">
        <w:rPr>
          <w:rFonts w:cs="Arial"/>
          <w:sz w:val="22"/>
          <w:szCs w:val="22"/>
          <w:lang w:val="lv-LV"/>
        </w:rPr>
        <w:t xml:space="preserve"> </w:t>
      </w:r>
      <w:r w:rsidR="004F5282" w:rsidRPr="00C21309">
        <w:rPr>
          <w:rFonts w:cs="Arial"/>
          <w:sz w:val="22"/>
          <w:szCs w:val="22"/>
          <w:lang w:val="lv-LV"/>
        </w:rPr>
        <w:t>saņemšanas</w:t>
      </w:r>
      <w:r w:rsidR="007F5EF6" w:rsidRPr="00C21309">
        <w:rPr>
          <w:rFonts w:cs="Arial"/>
          <w:sz w:val="22"/>
          <w:szCs w:val="22"/>
          <w:lang w:val="lv-LV"/>
        </w:rPr>
        <w:t xml:space="preserve"> dienas</w:t>
      </w:r>
      <w:r w:rsidRPr="00C21309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C21309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C21309">
        <w:rPr>
          <w:rFonts w:cs="Arial"/>
          <w:sz w:val="22"/>
          <w:szCs w:val="22"/>
          <w:lang w:val="lv-LV"/>
        </w:rPr>
        <w:t xml:space="preserve">Piedāvājuma </w:t>
      </w:r>
      <w:r w:rsidR="00182BDD" w:rsidRPr="00C21309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C21309">
        <w:rPr>
          <w:rFonts w:cs="Arial"/>
          <w:sz w:val="22"/>
          <w:szCs w:val="22"/>
          <w:lang w:val="lv-LV"/>
        </w:rPr>
        <w:t xml:space="preserve"> </w:t>
      </w:r>
      <w:r w:rsidRPr="00C21309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C21309">
        <w:rPr>
          <w:rFonts w:cs="Arial"/>
          <w:sz w:val="22"/>
          <w:szCs w:val="22"/>
          <w:lang w:val="lv-LV"/>
        </w:rPr>
        <w:t xml:space="preserve"> (izņemot PVN)</w:t>
      </w:r>
      <w:r w:rsidRPr="00C21309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5306798E" w14:textId="657DF9E6" w:rsidR="00AD0AC2" w:rsidRPr="00C21309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C21309">
        <w:rPr>
          <w:rFonts w:cs="Arial"/>
          <w:sz w:val="22"/>
          <w:szCs w:val="22"/>
          <w:lang w:val="lv-LV"/>
        </w:rPr>
        <w:t xml:space="preserve">Lūdzam Jūs līdz </w:t>
      </w:r>
      <w:r w:rsidRPr="00C21309">
        <w:rPr>
          <w:rFonts w:cs="Arial"/>
          <w:b/>
          <w:bCs/>
          <w:sz w:val="22"/>
          <w:szCs w:val="22"/>
          <w:lang w:val="lv-LV"/>
        </w:rPr>
        <w:t>202</w:t>
      </w:r>
      <w:r w:rsidR="00B65A58">
        <w:rPr>
          <w:rFonts w:cs="Arial"/>
          <w:b/>
          <w:bCs/>
          <w:sz w:val="22"/>
          <w:szCs w:val="22"/>
          <w:lang w:val="lv-LV"/>
        </w:rPr>
        <w:t>3</w:t>
      </w:r>
      <w:r w:rsidRPr="00C21309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130435" w:rsidRPr="00C21309">
        <w:rPr>
          <w:rFonts w:cs="Arial"/>
          <w:b/>
          <w:bCs/>
          <w:sz w:val="22"/>
          <w:szCs w:val="22"/>
          <w:lang w:val="lv-LV"/>
        </w:rPr>
        <w:t>28</w:t>
      </w:r>
      <w:r w:rsidR="0075780A" w:rsidRPr="00C21309">
        <w:rPr>
          <w:rFonts w:cs="Arial"/>
          <w:b/>
          <w:bCs/>
          <w:sz w:val="22"/>
          <w:szCs w:val="22"/>
          <w:lang w:val="lv-LV"/>
        </w:rPr>
        <w:t>.</w:t>
      </w:r>
      <w:r w:rsidR="00B65A58">
        <w:rPr>
          <w:rFonts w:cs="Arial"/>
          <w:b/>
          <w:bCs/>
          <w:sz w:val="22"/>
          <w:szCs w:val="22"/>
          <w:lang w:val="lv-LV"/>
        </w:rPr>
        <w:t>aprīli</w:t>
      </w:r>
      <w:r w:rsidR="00130435" w:rsidRPr="00C21309">
        <w:rPr>
          <w:rFonts w:cs="Arial"/>
          <w:b/>
          <w:bCs/>
          <w:sz w:val="22"/>
          <w:szCs w:val="22"/>
          <w:lang w:val="lv-LV"/>
        </w:rPr>
        <w:t>m</w:t>
      </w:r>
      <w:r w:rsidR="0075780A" w:rsidRPr="00C21309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C21309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C21309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C21309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C21309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C21309">
        <w:rPr>
          <w:rFonts w:cs="Arial"/>
          <w:sz w:val="22"/>
          <w:szCs w:val="22"/>
          <w:lang w:val="lv-LV"/>
        </w:rPr>
        <w:t xml:space="preserve"> personas parakstu </w:t>
      </w:r>
      <w:r w:rsidRPr="00C21309">
        <w:rPr>
          <w:rFonts w:cs="Arial"/>
          <w:sz w:val="22"/>
          <w:szCs w:val="22"/>
          <w:lang w:val="lv-LV"/>
        </w:rPr>
        <w:t xml:space="preserve">uz </w:t>
      </w:r>
      <w:r w:rsidR="004C4AD8" w:rsidRPr="00C21309">
        <w:rPr>
          <w:rFonts w:cs="Arial"/>
          <w:sz w:val="22"/>
          <w:szCs w:val="22"/>
          <w:lang w:val="lv-LV"/>
        </w:rPr>
        <w:t xml:space="preserve">VAS “Latvijas dzelzceļš” </w:t>
      </w:r>
      <w:r w:rsidRPr="00C21309">
        <w:rPr>
          <w:rFonts w:cs="Arial"/>
          <w:sz w:val="22"/>
          <w:szCs w:val="22"/>
          <w:lang w:val="lv-LV"/>
        </w:rPr>
        <w:t>elektronisk</w:t>
      </w:r>
      <w:r w:rsidR="004C4AD8" w:rsidRPr="00C21309">
        <w:rPr>
          <w:rFonts w:cs="Arial"/>
          <w:sz w:val="22"/>
          <w:szCs w:val="22"/>
          <w:lang w:val="lv-LV"/>
        </w:rPr>
        <w:t>ā</w:t>
      </w:r>
      <w:r w:rsidRPr="00C21309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C21309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C21309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Pr="00C21309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EB1EFD1" w14:textId="41B4F562" w:rsidR="00450F10" w:rsidRPr="00C21309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C21309">
        <w:rPr>
          <w:rFonts w:cs="Arial"/>
          <w:b/>
          <w:bCs/>
          <w:sz w:val="22"/>
          <w:szCs w:val="22"/>
          <w:u w:val="single"/>
          <w:lang w:val="lv-LV"/>
        </w:rPr>
        <w:t>Pielikumā:</w:t>
      </w:r>
      <w:r w:rsidRPr="00C21309">
        <w:rPr>
          <w:rFonts w:cs="Arial"/>
          <w:sz w:val="22"/>
          <w:szCs w:val="22"/>
          <w:lang w:val="lv-LV"/>
        </w:rPr>
        <w:t xml:space="preserve"> Koka stabu kvalitātes prasības.</w:t>
      </w:r>
    </w:p>
    <w:p w14:paraId="3CBDD03D" w14:textId="77777777" w:rsidR="00B65A58" w:rsidRPr="00C1644B" w:rsidRDefault="00B65A58" w:rsidP="00B65A58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58EA9AD0" w14:textId="77777777" w:rsidR="00B65A58" w:rsidRPr="00C1644B" w:rsidRDefault="00B65A58" w:rsidP="00B65A58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C1644B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pienākumu veikt darījumu par tirgus izpētē noteikto priekšmetu.</w:t>
      </w:r>
    </w:p>
    <w:p w14:paraId="3B41F18F" w14:textId="77777777" w:rsidR="00B65A58" w:rsidRPr="00C1644B" w:rsidRDefault="00B65A58" w:rsidP="00B65A58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1ED0B2E5" w14:textId="476BBA35" w:rsidR="00C34AB8" w:rsidRDefault="00C34AB8">
      <w:pPr>
        <w:spacing w:before="0" w:line="240" w:lineRule="auto"/>
        <w:jc w:val="left"/>
        <w:rPr>
          <w:rFonts w:eastAsia="Times New Roman" w:cs="Arial"/>
          <w:i/>
          <w:iCs/>
          <w:sz w:val="22"/>
          <w:szCs w:val="22"/>
          <w:lang w:val="lv-LV" w:eastAsia="lv-LV"/>
        </w:rPr>
      </w:pPr>
      <w:r>
        <w:rPr>
          <w:rFonts w:eastAsia="Times New Roman" w:cs="Arial"/>
          <w:i/>
          <w:iCs/>
          <w:sz w:val="22"/>
          <w:szCs w:val="22"/>
          <w:lang w:val="lv-LV" w:eastAsia="lv-LV"/>
        </w:rPr>
        <w:br w:type="page"/>
      </w:r>
    </w:p>
    <w:p w14:paraId="46E6C8E0" w14:textId="77777777" w:rsidR="00EE514F" w:rsidRDefault="00EE514F" w:rsidP="00C34AB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right"/>
        <w:textAlignment w:val="baseline"/>
        <w:rPr>
          <w:rFonts w:cs="Arial"/>
          <w:b/>
          <w:bCs/>
          <w:sz w:val="24"/>
          <w:lang w:val="lv-LV"/>
        </w:rPr>
      </w:pPr>
    </w:p>
    <w:p w14:paraId="6845A34C" w14:textId="11D85BF5" w:rsidR="00C34AB8" w:rsidRPr="008F2D08" w:rsidRDefault="00C34AB8" w:rsidP="00C34AB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right"/>
        <w:textAlignment w:val="baseline"/>
        <w:rPr>
          <w:sz w:val="22"/>
          <w:szCs w:val="28"/>
          <w:lang w:val="lv-LV"/>
        </w:rPr>
      </w:pPr>
      <w:r w:rsidRPr="008F2D08">
        <w:rPr>
          <w:rFonts w:cs="Arial"/>
          <w:b/>
          <w:bCs/>
          <w:sz w:val="24"/>
          <w:lang w:val="lv-LV"/>
        </w:rPr>
        <w:t>Pielikums</w:t>
      </w:r>
      <w:r w:rsidRPr="008F2D08">
        <w:rPr>
          <w:rFonts w:cs="Arial"/>
          <w:sz w:val="24"/>
          <w:lang w:val="lv-LV"/>
        </w:rPr>
        <w:t xml:space="preserve"> </w:t>
      </w:r>
      <w:r w:rsidR="00A528A4">
        <w:rPr>
          <w:rFonts w:cs="Arial"/>
          <w:sz w:val="24"/>
          <w:lang w:val="lv-LV"/>
        </w:rPr>
        <w:t>tirgus izpētes uzaicinājumam</w:t>
      </w:r>
    </w:p>
    <w:p w14:paraId="72264420" w14:textId="608F4C23" w:rsidR="00C34AB8" w:rsidRPr="008F2D08" w:rsidRDefault="00C34AB8" w:rsidP="00C34AB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right"/>
        <w:textAlignment w:val="baseline"/>
        <w:rPr>
          <w:rFonts w:cs="Arial"/>
          <w:i/>
          <w:iCs/>
          <w:sz w:val="24"/>
          <w:u w:val="single"/>
          <w:lang w:val="lv-LV"/>
        </w:rPr>
      </w:pPr>
      <w:r w:rsidRPr="008F2D08">
        <w:rPr>
          <w:rFonts w:cs="Arial"/>
          <w:i/>
          <w:iCs/>
          <w:sz w:val="24"/>
          <w:u w:val="single"/>
          <w:lang w:val="lv-LV"/>
        </w:rPr>
        <w:t>“</w:t>
      </w:r>
      <w:bookmarkStart w:id="1" w:name="_Hlk109200024"/>
      <w:r w:rsidR="008F2D08" w:rsidRPr="008F2D08">
        <w:rPr>
          <w:rFonts w:cs="Arial"/>
          <w:i/>
          <w:iCs/>
          <w:sz w:val="24"/>
          <w:u w:val="single"/>
          <w:lang w:val="lv-LV"/>
        </w:rPr>
        <w:t>I</w:t>
      </w:r>
      <w:r w:rsidRPr="008F2D08">
        <w:rPr>
          <w:rFonts w:cs="Arial"/>
          <w:i/>
          <w:iCs/>
          <w:sz w:val="24"/>
          <w:u w:val="single"/>
          <w:lang w:val="lv-LV"/>
        </w:rPr>
        <w:t>mpregnēto koka stabu piegāde</w:t>
      </w:r>
      <w:bookmarkEnd w:id="1"/>
      <w:r w:rsidRPr="008F2D08">
        <w:rPr>
          <w:rFonts w:cs="Arial"/>
          <w:i/>
          <w:iCs/>
          <w:sz w:val="24"/>
          <w:u w:val="single"/>
          <w:lang w:val="lv-LV"/>
        </w:rPr>
        <w:t>”</w:t>
      </w:r>
    </w:p>
    <w:p w14:paraId="20AC78F0" w14:textId="1EB523A0" w:rsidR="00C34AB8" w:rsidRDefault="00C34AB8" w:rsidP="00C34AB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rPr>
          <w:rFonts w:cs="Arial"/>
          <w:b/>
          <w:sz w:val="22"/>
          <w:szCs w:val="22"/>
          <w:lang w:val="lv-LV"/>
        </w:rPr>
      </w:pPr>
    </w:p>
    <w:p w14:paraId="30949EBC" w14:textId="77777777" w:rsidR="00C34AB8" w:rsidRPr="00EE514F" w:rsidRDefault="00C34AB8" w:rsidP="00C34AB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rPr>
          <w:rFonts w:cs="Arial"/>
          <w:b/>
          <w:sz w:val="24"/>
          <w:lang w:val="lv-LV"/>
        </w:rPr>
      </w:pPr>
      <w:r w:rsidRPr="00EE514F">
        <w:rPr>
          <w:rFonts w:cs="Arial"/>
          <w:b/>
          <w:sz w:val="24"/>
          <w:lang w:val="lv-LV"/>
        </w:rPr>
        <w:t>KOKA STABU KVALITĀTES PRASĪBAS</w:t>
      </w:r>
    </w:p>
    <w:p w14:paraId="509A4C97" w14:textId="77777777" w:rsidR="00C34AB8" w:rsidRPr="00EE514F" w:rsidRDefault="00C34AB8" w:rsidP="00C34AB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rPr>
          <w:rFonts w:cs="Arial"/>
          <w:b/>
          <w:bCs/>
          <w:i/>
          <w:iCs/>
          <w:sz w:val="24"/>
          <w:lang w:val="lv-LV"/>
        </w:rPr>
      </w:pPr>
    </w:p>
    <w:p w14:paraId="4A7922D5" w14:textId="77777777" w:rsidR="00C34AB8" w:rsidRPr="00EE514F" w:rsidRDefault="00C34AB8" w:rsidP="00C34AB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cs="Arial"/>
          <w:b/>
          <w:bCs/>
          <w:i/>
          <w:iCs/>
          <w:sz w:val="24"/>
          <w:lang w:val="lv-LV"/>
        </w:rPr>
      </w:pPr>
      <w:r w:rsidRPr="00EE514F">
        <w:rPr>
          <w:rFonts w:cs="Arial"/>
          <w:b/>
          <w:bCs/>
          <w:i/>
          <w:iCs/>
          <w:sz w:val="24"/>
          <w:lang w:val="lv-LV"/>
        </w:rPr>
        <w:t>Koksnes kvalitātes prasības:</w:t>
      </w:r>
    </w:p>
    <w:p w14:paraId="243A2763" w14:textId="77777777" w:rsidR="00C34AB8" w:rsidRPr="00EE514F" w:rsidRDefault="00C34AB8" w:rsidP="00C34AB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cs="Arial"/>
          <w:b/>
          <w:bCs/>
          <w:i/>
          <w:iCs/>
          <w:sz w:val="24"/>
          <w:lang w:val="lv-LV"/>
        </w:rPr>
      </w:pPr>
    </w:p>
    <w:p w14:paraId="6605CAEB" w14:textId="77777777" w:rsidR="00C34AB8" w:rsidRPr="00EE514F" w:rsidRDefault="00C34AB8" w:rsidP="00C34AB8">
      <w:pPr>
        <w:numPr>
          <w:ilvl w:val="0"/>
          <w:numId w:val="4"/>
        </w:numPr>
        <w:tabs>
          <w:tab w:val="left" w:pos="5637"/>
          <w:tab w:val="left" w:pos="9498"/>
        </w:tabs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 xml:space="preserve">Stabus ražo no slaidiem priedes stumbriem, izmantojot stumbra apakšējo vai vidus daļu, kura apaļā lietkoksne ir no veselas un labi augušas priedes. Stumbra galotnes posmi, kā arī no </w:t>
      </w:r>
      <w:proofErr w:type="spellStart"/>
      <w:r w:rsidRPr="00EE514F">
        <w:rPr>
          <w:rFonts w:cs="Arial"/>
          <w:sz w:val="24"/>
          <w:lang w:val="lv-LV"/>
        </w:rPr>
        <w:t>vējgāzēm</w:t>
      </w:r>
      <w:proofErr w:type="spellEnd"/>
      <w:r w:rsidRPr="00EE514F">
        <w:rPr>
          <w:rFonts w:cs="Arial"/>
          <w:sz w:val="24"/>
          <w:lang w:val="lv-LV"/>
        </w:rPr>
        <w:t xml:space="preserve"> krituši stumbri balstu ražošanai nav izmantojami.</w:t>
      </w:r>
    </w:p>
    <w:p w14:paraId="07467DEE" w14:textId="77777777" w:rsidR="00C34AB8" w:rsidRPr="00EE514F" w:rsidRDefault="00C34AB8" w:rsidP="00C34AB8">
      <w:pPr>
        <w:numPr>
          <w:ilvl w:val="0"/>
          <w:numId w:val="4"/>
        </w:numPr>
        <w:tabs>
          <w:tab w:val="left" w:pos="5637"/>
          <w:tab w:val="left" w:pos="9606"/>
        </w:tabs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 xml:space="preserve">Stumbru </w:t>
      </w:r>
      <w:proofErr w:type="spellStart"/>
      <w:r w:rsidRPr="00EE514F">
        <w:rPr>
          <w:rFonts w:cs="Arial"/>
          <w:sz w:val="24"/>
          <w:lang w:val="lv-LV"/>
        </w:rPr>
        <w:t>aplievas</w:t>
      </w:r>
      <w:proofErr w:type="spellEnd"/>
      <w:r w:rsidRPr="00EE514F">
        <w:rPr>
          <w:rFonts w:cs="Arial"/>
          <w:sz w:val="24"/>
          <w:lang w:val="lv-LV"/>
        </w:rPr>
        <w:t xml:space="preserve"> biezums ir ne mazāks par 2,5 cm.</w:t>
      </w:r>
    </w:p>
    <w:p w14:paraId="3659BDCC" w14:textId="77777777" w:rsidR="00C34AB8" w:rsidRPr="00EE514F" w:rsidRDefault="00C34AB8" w:rsidP="00C34AB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Zari un puni atzāģēti līdz ar stumbru.</w:t>
      </w:r>
    </w:p>
    <w:p w14:paraId="2BD306A3" w14:textId="77777777" w:rsidR="00C34AB8" w:rsidRPr="00EE514F" w:rsidRDefault="00C34AB8" w:rsidP="00C34AB8">
      <w:pPr>
        <w:numPr>
          <w:ilvl w:val="0"/>
          <w:numId w:val="4"/>
        </w:numPr>
        <w:tabs>
          <w:tab w:val="left" w:pos="5637"/>
          <w:tab w:val="left" w:pos="9606"/>
        </w:tabs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Stumbru gali nozāģēti taisni. Pieļaujamā novirze no perpendikularitātes ir līdz 1/10 (10%) no stumbra caurmēra attiecīgajā galā.</w:t>
      </w:r>
    </w:p>
    <w:p w14:paraId="59B278A6" w14:textId="77777777" w:rsidR="00C34AB8" w:rsidRPr="00EE514F" w:rsidRDefault="00C34AB8" w:rsidP="00C34AB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Stumbri ir izzāģēti 7, 9, 10, 11, 12 m garumā ar garuma novirzi +10 cm.</w:t>
      </w:r>
    </w:p>
    <w:p w14:paraId="2ECB658D" w14:textId="77777777" w:rsidR="00C34AB8" w:rsidRPr="00EE514F" w:rsidRDefault="00C34AB8" w:rsidP="00C34AB8">
      <w:pPr>
        <w:pStyle w:val="Sarakstarindkopa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Arial" w:hAnsi="Arial" w:cs="Arial"/>
          <w:szCs w:val="24"/>
        </w:rPr>
      </w:pPr>
      <w:r w:rsidRPr="00EE514F">
        <w:rPr>
          <w:rFonts w:ascii="Arial" w:hAnsi="Arial" w:cs="Arial"/>
          <w:szCs w:val="24"/>
        </w:rPr>
        <w:t xml:space="preserve">Balstiem jāatbilst noteikumiem par Latvijas būvnormatīvu LBN 206-14 “Koka būvkonstrukciju projektēšana” (Ministru kabineta 23.12.2014. noteikumi Nr.793). </w:t>
      </w:r>
    </w:p>
    <w:p w14:paraId="4C03A59E" w14:textId="259BAD63" w:rsidR="00C34AB8" w:rsidRDefault="00C34AB8" w:rsidP="00C34AB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Vainas un to pieļaujamie lielumi:</w:t>
      </w:r>
    </w:p>
    <w:p w14:paraId="60576A15" w14:textId="77777777" w:rsidR="00EE514F" w:rsidRPr="00EE514F" w:rsidRDefault="00EE514F" w:rsidP="00EE514F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cs="Arial"/>
          <w:sz w:val="24"/>
          <w:lang w:val="lv-LV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245"/>
      </w:tblGrid>
      <w:tr w:rsidR="00C34AB8" w:rsidRPr="00EE514F" w14:paraId="7985DE06" w14:textId="77777777" w:rsidTr="00EE514F">
        <w:trPr>
          <w:tblHeader/>
        </w:trPr>
        <w:tc>
          <w:tcPr>
            <w:tcW w:w="3573" w:type="dxa"/>
            <w:vAlign w:val="center"/>
          </w:tcPr>
          <w:p w14:paraId="5F06E2D6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>Koksnes vainas</w:t>
            </w:r>
          </w:p>
        </w:tc>
        <w:tc>
          <w:tcPr>
            <w:tcW w:w="5245" w:type="dxa"/>
            <w:vAlign w:val="center"/>
          </w:tcPr>
          <w:p w14:paraId="2639267A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>Pieļaujamie lielumi</w:t>
            </w:r>
          </w:p>
        </w:tc>
      </w:tr>
      <w:tr w:rsidR="00C34AB8" w:rsidRPr="00EE514F" w14:paraId="5F534886" w14:textId="77777777" w:rsidTr="001C000D">
        <w:tc>
          <w:tcPr>
            <w:tcW w:w="8818" w:type="dxa"/>
            <w:gridSpan w:val="2"/>
            <w:vAlign w:val="center"/>
          </w:tcPr>
          <w:p w14:paraId="1FA385DE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>Zari:</w:t>
            </w:r>
          </w:p>
        </w:tc>
      </w:tr>
      <w:tr w:rsidR="00C34AB8" w:rsidRPr="00AC604A" w14:paraId="6EEC279A" w14:textId="77777777" w:rsidTr="00EE514F">
        <w:trPr>
          <w:trHeight w:val="1084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19122356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Veseli saauguši, nokaltuši, melni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7E247DF" w14:textId="77777777" w:rsidR="00C34AB8" w:rsidRPr="00EE514F" w:rsidRDefault="00C34AB8" w:rsidP="00C34AB8">
            <w:pPr>
              <w:tabs>
                <w:tab w:val="left" w:pos="5637"/>
                <w:tab w:val="left" w:pos="9606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Pieļauj viens zars ar diametru ne lielāku par 1/3 no stumbra diametra mērīšanas vietā vai zaru grupu, kas augusi vienā augstuma līmenī ar diametru ne lielāku par 2/3 no stumbra diametra.</w:t>
            </w:r>
          </w:p>
        </w:tc>
      </w:tr>
      <w:tr w:rsidR="00C34AB8" w:rsidRPr="00EE514F" w14:paraId="4B5C0B15" w14:textId="77777777" w:rsidTr="00EE514F">
        <w:trPr>
          <w:trHeight w:val="124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74B826DE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Trupējuši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7B81074" w14:textId="77777777" w:rsidR="00C34AB8" w:rsidRPr="00EE514F" w:rsidRDefault="00C34AB8" w:rsidP="00C34AB8">
            <w:pPr>
              <w:tabs>
                <w:tab w:val="left" w:pos="5637"/>
                <w:tab w:val="left" w:pos="9606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Nepieļaujami</w:t>
            </w:r>
          </w:p>
        </w:tc>
      </w:tr>
      <w:tr w:rsidR="00C34AB8" w:rsidRPr="00EE514F" w14:paraId="34A2CD12" w14:textId="77777777" w:rsidTr="00EE514F">
        <w:trPr>
          <w:trHeight w:val="124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2521EF69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Padēls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1EA4D43" w14:textId="77777777" w:rsidR="00C34AB8" w:rsidRPr="00EE514F" w:rsidRDefault="00C34AB8" w:rsidP="00C34AB8">
            <w:pPr>
              <w:tabs>
                <w:tab w:val="left" w:pos="5637"/>
                <w:tab w:val="left" w:pos="9606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Nepieļaujams</w:t>
            </w:r>
          </w:p>
        </w:tc>
      </w:tr>
      <w:tr w:rsidR="00C34AB8" w:rsidRPr="00EE514F" w14:paraId="352E3D80" w14:textId="77777777" w:rsidTr="001C000D">
        <w:tc>
          <w:tcPr>
            <w:tcW w:w="8818" w:type="dxa"/>
            <w:gridSpan w:val="2"/>
            <w:vAlign w:val="center"/>
          </w:tcPr>
          <w:p w14:paraId="64A1FB30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>Stumbra formas vainas:</w:t>
            </w:r>
          </w:p>
        </w:tc>
      </w:tr>
      <w:tr w:rsidR="00C34AB8" w:rsidRPr="00AC604A" w14:paraId="67F24FB4" w14:textId="77777777" w:rsidTr="00EE514F">
        <w:trPr>
          <w:trHeight w:val="192"/>
        </w:trPr>
        <w:tc>
          <w:tcPr>
            <w:tcW w:w="3573" w:type="dxa"/>
            <w:vAlign w:val="center"/>
          </w:tcPr>
          <w:p w14:paraId="49FA21E7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 xml:space="preserve">Raukums   </w:t>
            </w:r>
          </w:p>
        </w:tc>
        <w:tc>
          <w:tcPr>
            <w:tcW w:w="5245" w:type="dxa"/>
            <w:vAlign w:val="center"/>
          </w:tcPr>
          <w:p w14:paraId="1BF382EC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Pieļauj līdz 1cm uz metru</w:t>
            </w:r>
          </w:p>
        </w:tc>
      </w:tr>
      <w:tr w:rsidR="00C34AB8" w:rsidRPr="00AC604A" w14:paraId="740FAFD1" w14:textId="77777777" w:rsidTr="00EE514F">
        <w:tc>
          <w:tcPr>
            <w:tcW w:w="3573" w:type="dxa"/>
            <w:vAlign w:val="center"/>
          </w:tcPr>
          <w:p w14:paraId="55E8A087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Vienpusīgā līkumainība</w:t>
            </w:r>
          </w:p>
        </w:tc>
        <w:tc>
          <w:tcPr>
            <w:tcW w:w="5245" w:type="dxa"/>
            <w:vAlign w:val="center"/>
          </w:tcPr>
          <w:p w14:paraId="586349B6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Pieļauj tik lielā apmērā, lai taisne, kas savieno stumbra resgaļa un tievgaļa centrus, visā stumbra garumā atrastos stumbra iekšpusē</w:t>
            </w:r>
          </w:p>
        </w:tc>
      </w:tr>
      <w:tr w:rsidR="00C34AB8" w:rsidRPr="00EE514F" w14:paraId="238629A9" w14:textId="77777777" w:rsidTr="00EE514F">
        <w:tc>
          <w:tcPr>
            <w:tcW w:w="3573" w:type="dxa"/>
            <w:vAlign w:val="center"/>
          </w:tcPr>
          <w:p w14:paraId="18D8E9ED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Saliktā līkumainība</w:t>
            </w:r>
          </w:p>
        </w:tc>
        <w:tc>
          <w:tcPr>
            <w:tcW w:w="5245" w:type="dxa"/>
            <w:vAlign w:val="center"/>
          </w:tcPr>
          <w:p w14:paraId="5492EC75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Nepieļaujama</w:t>
            </w:r>
          </w:p>
        </w:tc>
      </w:tr>
      <w:tr w:rsidR="00C34AB8" w:rsidRPr="00EE514F" w14:paraId="25B9CD76" w14:textId="77777777" w:rsidTr="001C000D">
        <w:tc>
          <w:tcPr>
            <w:tcW w:w="8818" w:type="dxa"/>
            <w:gridSpan w:val="2"/>
            <w:vAlign w:val="center"/>
          </w:tcPr>
          <w:p w14:paraId="6CF8F41C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>Koksnes uzbūves vainas:</w:t>
            </w:r>
          </w:p>
        </w:tc>
      </w:tr>
      <w:tr w:rsidR="00C34AB8" w:rsidRPr="00AC604A" w14:paraId="6AF02358" w14:textId="77777777" w:rsidTr="00EE514F">
        <w:tc>
          <w:tcPr>
            <w:tcW w:w="3573" w:type="dxa"/>
            <w:vAlign w:val="center"/>
          </w:tcPr>
          <w:p w14:paraId="640BE1EF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proofErr w:type="spellStart"/>
            <w:r w:rsidRPr="00EE514F">
              <w:rPr>
                <w:rFonts w:cs="Arial"/>
                <w:sz w:val="22"/>
                <w:szCs w:val="22"/>
                <w:lang w:val="lv-LV"/>
              </w:rPr>
              <w:t>Greizšķiedrainība</w:t>
            </w:r>
            <w:proofErr w:type="spellEnd"/>
          </w:p>
        </w:tc>
        <w:tc>
          <w:tcPr>
            <w:tcW w:w="5245" w:type="dxa"/>
            <w:vAlign w:val="center"/>
          </w:tcPr>
          <w:p w14:paraId="36E78543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Pieļaujama līdz 2cm uz metru</w:t>
            </w:r>
          </w:p>
        </w:tc>
      </w:tr>
      <w:tr w:rsidR="00C34AB8" w:rsidRPr="00EE514F" w14:paraId="0261A53F" w14:textId="77777777" w:rsidTr="00EE514F">
        <w:tc>
          <w:tcPr>
            <w:tcW w:w="3573" w:type="dxa"/>
            <w:vAlign w:val="center"/>
          </w:tcPr>
          <w:p w14:paraId="1988D62A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proofErr w:type="spellStart"/>
            <w:r w:rsidRPr="00EE514F">
              <w:rPr>
                <w:rFonts w:cs="Arial"/>
                <w:sz w:val="22"/>
                <w:szCs w:val="22"/>
                <w:lang w:val="lv-LV"/>
              </w:rPr>
              <w:t>Dvīņserde</w:t>
            </w:r>
            <w:proofErr w:type="spellEnd"/>
          </w:p>
        </w:tc>
        <w:tc>
          <w:tcPr>
            <w:tcW w:w="5245" w:type="dxa"/>
            <w:vAlign w:val="center"/>
          </w:tcPr>
          <w:p w14:paraId="318CD204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Nepieļaujama</w:t>
            </w:r>
          </w:p>
        </w:tc>
      </w:tr>
      <w:tr w:rsidR="00C34AB8" w:rsidRPr="00EE514F" w14:paraId="48FCC4DC" w14:textId="77777777" w:rsidTr="001C000D">
        <w:tc>
          <w:tcPr>
            <w:tcW w:w="8818" w:type="dxa"/>
            <w:gridSpan w:val="2"/>
            <w:vAlign w:val="center"/>
          </w:tcPr>
          <w:p w14:paraId="770D016E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>Plaisas:</w:t>
            </w:r>
          </w:p>
        </w:tc>
      </w:tr>
      <w:tr w:rsidR="00C34AB8" w:rsidRPr="00EE514F" w14:paraId="7152C8CB" w14:textId="77777777" w:rsidTr="00EE514F">
        <w:trPr>
          <w:trHeight w:val="216"/>
        </w:trPr>
        <w:tc>
          <w:tcPr>
            <w:tcW w:w="3573" w:type="dxa"/>
            <w:vAlign w:val="center"/>
          </w:tcPr>
          <w:p w14:paraId="24190C0F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 xml:space="preserve">Sala, zibens un gredzenveida plaisas  </w:t>
            </w:r>
          </w:p>
        </w:tc>
        <w:tc>
          <w:tcPr>
            <w:tcW w:w="5245" w:type="dxa"/>
            <w:vAlign w:val="center"/>
          </w:tcPr>
          <w:p w14:paraId="6FF050A5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Nepieļaujamas</w:t>
            </w:r>
          </w:p>
        </w:tc>
      </w:tr>
      <w:tr w:rsidR="00C34AB8" w:rsidRPr="00EE514F" w14:paraId="4622BC6F" w14:textId="77777777" w:rsidTr="00EE514F">
        <w:tc>
          <w:tcPr>
            <w:tcW w:w="3573" w:type="dxa"/>
            <w:vAlign w:val="center"/>
          </w:tcPr>
          <w:p w14:paraId="0FEE0185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Serdes plaisas</w:t>
            </w:r>
          </w:p>
        </w:tc>
        <w:tc>
          <w:tcPr>
            <w:tcW w:w="5245" w:type="dxa"/>
            <w:vAlign w:val="center"/>
          </w:tcPr>
          <w:p w14:paraId="38BD02D7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Pieļaujamas līdz 1/3 no caurmēra</w:t>
            </w:r>
          </w:p>
        </w:tc>
      </w:tr>
      <w:tr w:rsidR="00C34AB8" w:rsidRPr="00EE514F" w14:paraId="5056B884" w14:textId="77777777" w:rsidTr="001C000D">
        <w:tc>
          <w:tcPr>
            <w:tcW w:w="8818" w:type="dxa"/>
            <w:gridSpan w:val="2"/>
            <w:vAlign w:val="center"/>
          </w:tcPr>
          <w:p w14:paraId="3DA3CF5B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>Ieaugumi</w:t>
            </w:r>
            <w:proofErr w:type="spellEnd"/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 xml:space="preserve"> un mehāniski bojājumi:</w:t>
            </w:r>
          </w:p>
        </w:tc>
      </w:tr>
      <w:tr w:rsidR="00C34AB8" w:rsidRPr="00AC604A" w14:paraId="11E032E9" w14:textId="77777777" w:rsidTr="00EE514F">
        <w:tc>
          <w:tcPr>
            <w:tcW w:w="3573" w:type="dxa"/>
            <w:vAlign w:val="center"/>
          </w:tcPr>
          <w:p w14:paraId="29F16D5B" w14:textId="77777777" w:rsidR="00C34AB8" w:rsidRPr="00EE514F" w:rsidRDefault="00C34AB8" w:rsidP="00C34AB8">
            <w:pPr>
              <w:spacing w:before="0" w:line="240" w:lineRule="auto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Izrāvumi, atšķēlumi</w:t>
            </w:r>
          </w:p>
          <w:p w14:paraId="2DFD07E3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5245" w:type="dxa"/>
            <w:vAlign w:val="center"/>
          </w:tcPr>
          <w:p w14:paraId="5F246269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Pieļaujami ārpus tievgaļa cilindra diametra, atšķeltajai koksnei jābūt atdalītai no stumbra</w:t>
            </w:r>
          </w:p>
        </w:tc>
      </w:tr>
      <w:tr w:rsidR="00C34AB8" w:rsidRPr="00EE514F" w14:paraId="325F436E" w14:textId="77777777" w:rsidTr="00EE514F">
        <w:tc>
          <w:tcPr>
            <w:tcW w:w="3573" w:type="dxa"/>
            <w:vAlign w:val="center"/>
          </w:tcPr>
          <w:p w14:paraId="610DC32C" w14:textId="77777777" w:rsidR="00C34AB8" w:rsidRPr="00EE514F" w:rsidRDefault="00C34AB8" w:rsidP="00C34AB8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 xml:space="preserve">Atsveķošanas brūces, </w:t>
            </w:r>
            <w:proofErr w:type="spellStart"/>
            <w:r w:rsidRPr="00EE514F">
              <w:rPr>
                <w:rFonts w:cs="Arial"/>
                <w:sz w:val="22"/>
                <w:szCs w:val="22"/>
                <w:lang w:val="lv-LV"/>
              </w:rPr>
              <w:t>saussāni</w:t>
            </w:r>
            <w:proofErr w:type="spellEnd"/>
            <w:r w:rsidRPr="00EE514F">
              <w:rPr>
                <w:rFonts w:cs="Arial"/>
                <w:sz w:val="22"/>
                <w:szCs w:val="22"/>
                <w:lang w:val="lv-LV"/>
              </w:rPr>
              <w:t xml:space="preserve"> un vēzis    </w:t>
            </w:r>
          </w:p>
        </w:tc>
        <w:tc>
          <w:tcPr>
            <w:tcW w:w="5245" w:type="dxa"/>
            <w:vAlign w:val="center"/>
          </w:tcPr>
          <w:p w14:paraId="68056778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Nepieļaujami</w:t>
            </w:r>
          </w:p>
        </w:tc>
      </w:tr>
      <w:tr w:rsidR="00C34AB8" w:rsidRPr="00EE514F" w14:paraId="0FC9BDE2" w14:textId="77777777" w:rsidTr="00EE514F">
        <w:tc>
          <w:tcPr>
            <w:tcW w:w="3573" w:type="dxa"/>
            <w:vAlign w:val="center"/>
          </w:tcPr>
          <w:p w14:paraId="0BAAAED4" w14:textId="77777777" w:rsidR="00C34AB8" w:rsidRPr="00EE514F" w:rsidRDefault="00C34AB8" w:rsidP="00C34AB8">
            <w:pPr>
              <w:spacing w:before="0" w:line="240" w:lineRule="auto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>Apdegusi koksne</w:t>
            </w:r>
          </w:p>
        </w:tc>
        <w:tc>
          <w:tcPr>
            <w:tcW w:w="5245" w:type="dxa"/>
            <w:vAlign w:val="center"/>
          </w:tcPr>
          <w:p w14:paraId="2E01A2A7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Nepieļaujama</w:t>
            </w:r>
          </w:p>
        </w:tc>
      </w:tr>
      <w:tr w:rsidR="00C34AB8" w:rsidRPr="00EE514F" w14:paraId="24638944" w14:textId="77777777" w:rsidTr="00EE514F">
        <w:tc>
          <w:tcPr>
            <w:tcW w:w="3573" w:type="dxa"/>
            <w:vAlign w:val="center"/>
          </w:tcPr>
          <w:p w14:paraId="49863914" w14:textId="77777777" w:rsidR="00C34AB8" w:rsidRPr="00EE514F" w:rsidRDefault="00C34AB8" w:rsidP="00C34AB8">
            <w:pPr>
              <w:keepNext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outlineLvl w:val="2"/>
              <w:rPr>
                <w:rFonts w:cs="Arial"/>
                <w:b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b/>
                <w:sz w:val="22"/>
                <w:szCs w:val="22"/>
                <w:lang w:val="lv-LV"/>
              </w:rPr>
              <w:t>Kukaiņu bojājumi</w:t>
            </w:r>
          </w:p>
        </w:tc>
        <w:tc>
          <w:tcPr>
            <w:tcW w:w="5245" w:type="dxa"/>
            <w:vAlign w:val="center"/>
          </w:tcPr>
          <w:p w14:paraId="3D489406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Nepieļaujami</w:t>
            </w:r>
          </w:p>
        </w:tc>
      </w:tr>
      <w:tr w:rsidR="00C34AB8" w:rsidRPr="00EE514F" w14:paraId="206ADA26" w14:textId="77777777" w:rsidTr="001C000D">
        <w:tc>
          <w:tcPr>
            <w:tcW w:w="8818" w:type="dxa"/>
            <w:gridSpan w:val="2"/>
            <w:vAlign w:val="center"/>
          </w:tcPr>
          <w:p w14:paraId="1995BC70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b/>
                <w:bCs/>
                <w:sz w:val="22"/>
                <w:szCs w:val="22"/>
                <w:lang w:val="lv-LV"/>
              </w:rPr>
              <w:t>Sēņu bojājumi:</w:t>
            </w:r>
          </w:p>
        </w:tc>
      </w:tr>
      <w:tr w:rsidR="00C34AB8" w:rsidRPr="00EE514F" w14:paraId="6ECD2515" w14:textId="77777777" w:rsidTr="00EE514F">
        <w:tc>
          <w:tcPr>
            <w:tcW w:w="3573" w:type="dxa"/>
            <w:vAlign w:val="center"/>
          </w:tcPr>
          <w:p w14:paraId="3E3FA5E4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 xml:space="preserve">Kodola trupe un dobumi </w:t>
            </w:r>
          </w:p>
        </w:tc>
        <w:tc>
          <w:tcPr>
            <w:tcW w:w="5245" w:type="dxa"/>
            <w:vAlign w:val="center"/>
          </w:tcPr>
          <w:p w14:paraId="2ACBFD9C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Nepieļaujami</w:t>
            </w:r>
          </w:p>
        </w:tc>
      </w:tr>
      <w:tr w:rsidR="00C34AB8" w:rsidRPr="00EE514F" w14:paraId="722BB949" w14:textId="77777777" w:rsidTr="00EE514F">
        <w:tc>
          <w:tcPr>
            <w:tcW w:w="3573" w:type="dxa"/>
            <w:vAlign w:val="center"/>
          </w:tcPr>
          <w:p w14:paraId="4F14878C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Kodola iekrāsojumi</w:t>
            </w:r>
          </w:p>
        </w:tc>
        <w:tc>
          <w:tcPr>
            <w:tcW w:w="5245" w:type="dxa"/>
            <w:vAlign w:val="center"/>
          </w:tcPr>
          <w:p w14:paraId="61A0D582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Nepieļaujami</w:t>
            </w:r>
          </w:p>
        </w:tc>
      </w:tr>
      <w:tr w:rsidR="00C34AB8" w:rsidRPr="00EE514F" w14:paraId="211C6A86" w14:textId="77777777" w:rsidTr="00EE514F">
        <w:tc>
          <w:tcPr>
            <w:tcW w:w="3573" w:type="dxa"/>
            <w:vAlign w:val="center"/>
          </w:tcPr>
          <w:p w14:paraId="1270164A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proofErr w:type="spellStart"/>
            <w:r w:rsidRPr="00EE514F">
              <w:rPr>
                <w:rFonts w:cs="Arial"/>
                <w:sz w:val="22"/>
                <w:szCs w:val="22"/>
                <w:lang w:val="lv-LV"/>
              </w:rPr>
              <w:t>Aplievas</w:t>
            </w:r>
            <w:proofErr w:type="spellEnd"/>
            <w:r w:rsidRPr="00EE514F">
              <w:rPr>
                <w:rFonts w:cs="Arial"/>
                <w:sz w:val="22"/>
                <w:szCs w:val="22"/>
                <w:lang w:val="lv-LV"/>
              </w:rPr>
              <w:t xml:space="preserve"> trupe</w:t>
            </w:r>
          </w:p>
        </w:tc>
        <w:tc>
          <w:tcPr>
            <w:tcW w:w="5245" w:type="dxa"/>
            <w:vAlign w:val="center"/>
          </w:tcPr>
          <w:p w14:paraId="7113D698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Nepieļaujama</w:t>
            </w:r>
          </w:p>
        </w:tc>
      </w:tr>
      <w:tr w:rsidR="00C34AB8" w:rsidRPr="00EE514F" w14:paraId="2BF7BDEB" w14:textId="77777777" w:rsidTr="00EE514F">
        <w:tc>
          <w:tcPr>
            <w:tcW w:w="3573" w:type="dxa"/>
            <w:vAlign w:val="center"/>
          </w:tcPr>
          <w:p w14:paraId="5A2F6055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 xml:space="preserve">Zilējums un citi </w:t>
            </w:r>
            <w:proofErr w:type="spellStart"/>
            <w:r w:rsidRPr="00EE514F">
              <w:rPr>
                <w:rFonts w:cs="Arial"/>
                <w:sz w:val="22"/>
                <w:szCs w:val="22"/>
                <w:lang w:val="lv-LV"/>
              </w:rPr>
              <w:t>aplievas</w:t>
            </w:r>
            <w:proofErr w:type="spellEnd"/>
            <w:r w:rsidRPr="00EE514F">
              <w:rPr>
                <w:rFonts w:cs="Arial"/>
                <w:sz w:val="22"/>
                <w:szCs w:val="22"/>
                <w:lang w:val="lv-LV"/>
              </w:rPr>
              <w:t xml:space="preserve"> iekrāsojumi</w:t>
            </w:r>
          </w:p>
        </w:tc>
        <w:tc>
          <w:tcPr>
            <w:tcW w:w="5245" w:type="dxa"/>
            <w:vAlign w:val="center"/>
          </w:tcPr>
          <w:p w14:paraId="668F8BEC" w14:textId="77777777" w:rsidR="00C34AB8" w:rsidRPr="00EE514F" w:rsidRDefault="00C34AB8" w:rsidP="00C34AB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sz w:val="22"/>
                <w:szCs w:val="22"/>
                <w:lang w:val="lv-LV"/>
              </w:rPr>
            </w:pPr>
            <w:r w:rsidRPr="00EE514F">
              <w:rPr>
                <w:rFonts w:cs="Arial"/>
                <w:sz w:val="22"/>
                <w:szCs w:val="22"/>
                <w:lang w:val="lv-LV"/>
              </w:rPr>
              <w:t>Nepieļaujami</w:t>
            </w:r>
          </w:p>
        </w:tc>
      </w:tr>
    </w:tbl>
    <w:p w14:paraId="5A3DAA66" w14:textId="13A840A5" w:rsidR="00C34AB8" w:rsidRPr="00EE514F" w:rsidRDefault="00C34AB8" w:rsidP="00C34AB8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cs="Arial"/>
          <w:b/>
          <w:i/>
          <w:iCs/>
          <w:sz w:val="24"/>
          <w:lang w:val="lv-LV"/>
        </w:rPr>
      </w:pPr>
    </w:p>
    <w:p w14:paraId="38C4A8EC" w14:textId="6B913B4D" w:rsidR="00C34AB8" w:rsidRPr="00EE514F" w:rsidRDefault="00C34AB8" w:rsidP="00C34AB8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cs="Arial"/>
          <w:b/>
          <w:i/>
          <w:iCs/>
          <w:sz w:val="24"/>
          <w:lang w:val="lv-LV"/>
        </w:rPr>
      </w:pPr>
    </w:p>
    <w:p w14:paraId="3D9CE372" w14:textId="77777777" w:rsidR="00C34AB8" w:rsidRPr="00EE514F" w:rsidRDefault="00C34AB8" w:rsidP="00C34AB8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cs="Arial"/>
          <w:b/>
          <w:i/>
          <w:iCs/>
          <w:sz w:val="24"/>
          <w:lang w:val="lv-LV"/>
        </w:rPr>
      </w:pPr>
    </w:p>
    <w:p w14:paraId="0ABEF695" w14:textId="77777777" w:rsidR="00C34AB8" w:rsidRPr="00EE514F" w:rsidRDefault="00C34AB8" w:rsidP="00C34AB8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cs="Arial"/>
          <w:b/>
          <w:i/>
          <w:iCs/>
          <w:caps/>
          <w:sz w:val="24"/>
          <w:lang w:val="lv-LV"/>
        </w:rPr>
      </w:pPr>
      <w:r w:rsidRPr="00EE514F">
        <w:rPr>
          <w:rFonts w:cs="Arial"/>
          <w:b/>
          <w:i/>
          <w:iCs/>
          <w:sz w:val="24"/>
          <w:lang w:val="lv-LV"/>
        </w:rPr>
        <w:t>Koka stabu piesūcināšanas prasības:</w:t>
      </w:r>
    </w:p>
    <w:p w14:paraId="5B065857" w14:textId="77777777" w:rsidR="00C34AB8" w:rsidRPr="00EE514F" w:rsidRDefault="00C34AB8" w:rsidP="00C34AB8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cs="Arial"/>
          <w:b/>
          <w:i/>
          <w:iCs/>
          <w:caps/>
          <w:sz w:val="24"/>
          <w:lang w:val="lv-LV"/>
        </w:rPr>
      </w:pPr>
    </w:p>
    <w:p w14:paraId="1D77F3E0" w14:textId="77777777" w:rsidR="00C34AB8" w:rsidRPr="00EE514F" w:rsidRDefault="00C34AB8" w:rsidP="00C34A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Stabu piesūcināšana notiek autoklāvā ar vakuuma – spiediena – vakuuma metodi, kurā tiek izmantots koksnes ķīmiskais aizsardzības līdzeklis (KĶAL).</w:t>
      </w:r>
    </w:p>
    <w:p w14:paraId="1DD38BEE" w14:textId="77777777" w:rsidR="00C34AB8" w:rsidRPr="00EE514F" w:rsidRDefault="00C34AB8" w:rsidP="00C34A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Jāizmanto koksnes ķīmisko aizsardzības līdzekli, kas atbilst noteikumiem par bīstamo ķīmisko vielu un bīstamo ķīmisko produktu lietošanas un tirdzniecības ierobežojumiem un aizliegumiem.</w:t>
      </w:r>
    </w:p>
    <w:p w14:paraId="57ABDBBD" w14:textId="77777777" w:rsidR="00C34AB8" w:rsidRPr="00EE514F" w:rsidRDefault="00C34AB8" w:rsidP="00C34AB8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 xml:space="preserve">  Balstu piesūcināšanā noteiktas šādas prasības:</w:t>
      </w:r>
    </w:p>
    <w:p w14:paraId="7719B6ED" w14:textId="77777777" w:rsidR="00C34AB8" w:rsidRPr="00EE514F" w:rsidRDefault="00C34AB8" w:rsidP="00C34AB8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proofErr w:type="spellStart"/>
      <w:r w:rsidRPr="00EE514F">
        <w:rPr>
          <w:rFonts w:cs="Arial"/>
          <w:sz w:val="24"/>
          <w:lang w:val="lv-LV"/>
        </w:rPr>
        <w:t>aplievas</w:t>
      </w:r>
      <w:proofErr w:type="spellEnd"/>
      <w:r w:rsidRPr="00EE514F">
        <w:rPr>
          <w:rFonts w:cs="Arial"/>
          <w:sz w:val="24"/>
          <w:lang w:val="lv-LV"/>
        </w:rPr>
        <w:t xml:space="preserve"> mitrums pirms piesūcināšanas ir W=25</w:t>
      </w:r>
      <w:r w:rsidRPr="00EE514F">
        <w:rPr>
          <w:rFonts w:cs="Arial"/>
          <w:sz w:val="24"/>
          <w:lang w:val="lv-LV"/>
        </w:rPr>
        <w:sym w:font="Symbol" w:char="F0B1"/>
      </w:r>
      <w:r w:rsidRPr="00EE514F">
        <w:rPr>
          <w:rFonts w:cs="Arial"/>
          <w:sz w:val="24"/>
          <w:lang w:val="lv-LV"/>
        </w:rPr>
        <w:t>5%;</w:t>
      </w:r>
    </w:p>
    <w:p w14:paraId="308B9710" w14:textId="77777777" w:rsidR="00C34AB8" w:rsidRPr="00EE514F" w:rsidRDefault="00C34AB8" w:rsidP="00C34AB8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pirmreizējā vakuuma, kas nav mazāks kā – 0,8 bar, izturēšanas laiks 40...60min;</w:t>
      </w:r>
    </w:p>
    <w:p w14:paraId="762F091E" w14:textId="77777777" w:rsidR="00C34AB8" w:rsidRPr="00EE514F" w:rsidRDefault="00C34AB8" w:rsidP="00C34AB8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darba šķīduma spiedienu 12 bar iztur līdz aprēķinātā darba šķīduma daudzuma iespiešanai;</w:t>
      </w:r>
    </w:p>
    <w:p w14:paraId="057DA89B" w14:textId="77777777" w:rsidR="00C34AB8" w:rsidRPr="00EE514F" w:rsidRDefault="00C34AB8" w:rsidP="00C34AB8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otrreizējā vakuuma, kas nav mazāks kā –0,8bar, izturēšanas laiks 20...40min;</w:t>
      </w:r>
    </w:p>
    <w:p w14:paraId="40B9FA94" w14:textId="77777777" w:rsidR="00C34AB8" w:rsidRPr="00EE514F" w:rsidRDefault="00C34AB8" w:rsidP="00C34AB8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piesūcināšanas darba šķīduma optimālā temperatūra ir 19 ... 28</w:t>
      </w:r>
      <w:r w:rsidRPr="00EE514F">
        <w:rPr>
          <w:rFonts w:cs="Arial"/>
          <w:sz w:val="24"/>
          <w:vertAlign w:val="superscript"/>
          <w:lang w:val="lv-LV"/>
        </w:rPr>
        <w:t>o</w:t>
      </w:r>
      <w:r w:rsidRPr="00EE514F">
        <w:rPr>
          <w:rFonts w:cs="Arial"/>
          <w:sz w:val="24"/>
          <w:lang w:val="lv-LV"/>
        </w:rPr>
        <w:t>C;</w:t>
      </w:r>
    </w:p>
    <w:p w14:paraId="39CEE96A" w14:textId="77777777" w:rsidR="00C34AB8" w:rsidRPr="00EE514F" w:rsidRDefault="00C34AB8" w:rsidP="00C34AB8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 xml:space="preserve">balsta </w:t>
      </w:r>
      <w:proofErr w:type="spellStart"/>
      <w:r w:rsidRPr="00EE514F">
        <w:rPr>
          <w:rFonts w:cs="Arial"/>
          <w:sz w:val="24"/>
          <w:lang w:val="lv-LV"/>
        </w:rPr>
        <w:t>aplievā</w:t>
      </w:r>
      <w:proofErr w:type="spellEnd"/>
      <w:r w:rsidRPr="00EE514F">
        <w:rPr>
          <w:rFonts w:cs="Arial"/>
          <w:sz w:val="24"/>
          <w:lang w:val="lv-LV"/>
        </w:rPr>
        <w:t xml:space="preserve"> iespiestā KĶAL daudzums ir ne mazāks par 9,0 kg/m</w:t>
      </w:r>
      <w:r w:rsidRPr="00EE514F">
        <w:rPr>
          <w:rFonts w:cs="Arial"/>
          <w:sz w:val="24"/>
          <w:vertAlign w:val="superscript"/>
          <w:lang w:val="lv-LV"/>
        </w:rPr>
        <w:t>3</w:t>
      </w:r>
      <w:r w:rsidRPr="00EE514F">
        <w:rPr>
          <w:rFonts w:cs="Arial"/>
          <w:sz w:val="24"/>
          <w:lang w:val="lv-LV"/>
        </w:rPr>
        <w:t>;</w:t>
      </w:r>
    </w:p>
    <w:p w14:paraId="51DD65B1" w14:textId="77777777" w:rsidR="00C34AB8" w:rsidRPr="00EE514F" w:rsidRDefault="00C34AB8" w:rsidP="00C34AB8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 xml:space="preserve">balsta piesūcināšanas dziļums ir pilna </w:t>
      </w:r>
      <w:proofErr w:type="spellStart"/>
      <w:r w:rsidRPr="00EE514F">
        <w:rPr>
          <w:rFonts w:cs="Arial"/>
          <w:sz w:val="24"/>
          <w:lang w:val="lv-LV"/>
        </w:rPr>
        <w:t>aplieva</w:t>
      </w:r>
      <w:proofErr w:type="spellEnd"/>
      <w:r w:rsidRPr="00EE514F">
        <w:rPr>
          <w:rFonts w:cs="Arial"/>
          <w:sz w:val="24"/>
          <w:lang w:val="lv-LV"/>
        </w:rPr>
        <w:t>.</w:t>
      </w:r>
    </w:p>
    <w:p w14:paraId="35931D81" w14:textId="77777777" w:rsidR="00C34AB8" w:rsidRPr="00EE514F" w:rsidRDefault="00C34AB8" w:rsidP="00C34A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textAlignment w:val="baseline"/>
        <w:rPr>
          <w:rFonts w:cs="Arial"/>
          <w:sz w:val="24"/>
          <w:lang w:val="lv-LV"/>
        </w:rPr>
      </w:pPr>
      <w:r w:rsidRPr="00EE514F">
        <w:rPr>
          <w:rFonts w:cs="Arial"/>
          <w:sz w:val="24"/>
          <w:lang w:val="lv-LV"/>
        </w:rPr>
        <w:t>Balstu kalpošanas laika pēc piesūcināšanas jābūt ne mazāk kā 35 gadi.</w:t>
      </w:r>
    </w:p>
    <w:p w14:paraId="67DFAE69" w14:textId="77777777" w:rsidR="00C34AB8" w:rsidRPr="00EE514F" w:rsidRDefault="00C34AB8" w:rsidP="00C34AB8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cs="Arial"/>
          <w:sz w:val="24"/>
          <w:lang w:val="lv-LV"/>
        </w:rPr>
      </w:pPr>
    </w:p>
    <w:p w14:paraId="0B32D61A" w14:textId="77777777" w:rsidR="00C34AB8" w:rsidRPr="00EE514F" w:rsidRDefault="00C34AB8" w:rsidP="00C34AB8">
      <w:pPr>
        <w:spacing w:before="0" w:line="240" w:lineRule="auto"/>
        <w:rPr>
          <w:rFonts w:cs="Arial"/>
          <w:sz w:val="22"/>
          <w:szCs w:val="28"/>
          <w:lang w:val="lv-LV"/>
        </w:rPr>
      </w:pPr>
    </w:p>
    <w:p w14:paraId="0AD353E1" w14:textId="77777777" w:rsidR="00C34AB8" w:rsidRPr="00EE514F" w:rsidRDefault="00C34AB8" w:rsidP="00C34AB8">
      <w:pPr>
        <w:autoSpaceDE w:val="0"/>
        <w:autoSpaceDN w:val="0"/>
        <w:adjustRightInd w:val="0"/>
        <w:spacing w:before="0" w:line="240" w:lineRule="auto"/>
        <w:rPr>
          <w:rFonts w:eastAsia="Times New Roman" w:cs="Arial"/>
          <w:i/>
          <w:iCs/>
          <w:sz w:val="24"/>
          <w:lang w:val="lv-LV" w:eastAsia="lv-LV"/>
        </w:rPr>
      </w:pPr>
    </w:p>
    <w:p w14:paraId="31446C3A" w14:textId="28C2D0D5" w:rsidR="00AD0AC2" w:rsidRPr="00EE514F" w:rsidRDefault="00AD0AC2" w:rsidP="00C34AB8">
      <w:pPr>
        <w:spacing w:before="0" w:line="240" w:lineRule="auto"/>
        <w:rPr>
          <w:rFonts w:cs="Arial"/>
          <w:noProof/>
          <w:sz w:val="24"/>
          <w:lang w:val="lv-LV" w:eastAsia="lv-LV"/>
        </w:rPr>
      </w:pPr>
    </w:p>
    <w:p w14:paraId="54D244E2" w14:textId="4A6F2A51" w:rsidR="00026169" w:rsidRPr="00C21309" w:rsidRDefault="00026169" w:rsidP="00C34AB8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25B74509" w14:textId="77777777" w:rsidR="00026169" w:rsidRPr="00C21309" w:rsidRDefault="00026169" w:rsidP="00C34AB8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026169" w:rsidRPr="00C21309" w:rsidSect="00EE514F">
      <w:pgSz w:w="11900" w:h="16840"/>
      <w:pgMar w:top="851" w:right="1134" w:bottom="851" w:left="1418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9AA6" w14:textId="77777777" w:rsidR="00E30971" w:rsidRDefault="00E30971" w:rsidP="001F7D81">
      <w:pPr>
        <w:spacing w:before="0" w:line="240" w:lineRule="auto"/>
      </w:pPr>
      <w:r>
        <w:separator/>
      </w:r>
    </w:p>
  </w:endnote>
  <w:endnote w:type="continuationSeparator" w:id="0">
    <w:p w14:paraId="252F08D2" w14:textId="77777777" w:rsidR="00E30971" w:rsidRDefault="00E30971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F054" w14:textId="77777777" w:rsidR="00E30971" w:rsidRDefault="00E30971" w:rsidP="001F7D81">
      <w:pPr>
        <w:spacing w:before="0" w:line="240" w:lineRule="auto"/>
      </w:pPr>
      <w:r>
        <w:separator/>
      </w:r>
    </w:p>
  </w:footnote>
  <w:footnote w:type="continuationSeparator" w:id="0">
    <w:p w14:paraId="2C6E515F" w14:textId="77777777" w:rsidR="00E30971" w:rsidRDefault="00E30971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2B53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A05595"/>
    <w:multiLevelType w:val="multilevel"/>
    <w:tmpl w:val="DAB6F3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731262"/>
    <w:multiLevelType w:val="hybridMultilevel"/>
    <w:tmpl w:val="184A4F34"/>
    <w:lvl w:ilvl="0" w:tplc="6EA41AC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23144">
    <w:abstractNumId w:val="0"/>
  </w:num>
  <w:num w:numId="2" w16cid:durableId="701979475">
    <w:abstractNumId w:val="4"/>
  </w:num>
  <w:num w:numId="3" w16cid:durableId="1189758841">
    <w:abstractNumId w:val="3"/>
  </w:num>
  <w:num w:numId="4" w16cid:durableId="954022972">
    <w:abstractNumId w:val="2"/>
  </w:num>
  <w:num w:numId="5" w16cid:durableId="199887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0A28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8F2D08"/>
    <w:rsid w:val="00904BD7"/>
    <w:rsid w:val="0092275C"/>
    <w:rsid w:val="009350F6"/>
    <w:rsid w:val="0093668F"/>
    <w:rsid w:val="00957BEA"/>
    <w:rsid w:val="009628F0"/>
    <w:rsid w:val="0096559A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528A4"/>
    <w:rsid w:val="00A668AC"/>
    <w:rsid w:val="00A7481C"/>
    <w:rsid w:val="00A80BB6"/>
    <w:rsid w:val="00A91957"/>
    <w:rsid w:val="00A919B7"/>
    <w:rsid w:val="00AB2FF0"/>
    <w:rsid w:val="00AC4E71"/>
    <w:rsid w:val="00AC604A"/>
    <w:rsid w:val="00AD0054"/>
    <w:rsid w:val="00AD0AC2"/>
    <w:rsid w:val="00AD0E0D"/>
    <w:rsid w:val="00AD2BFB"/>
    <w:rsid w:val="00AE39C8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5A58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20EC3"/>
    <w:rsid w:val="00C21309"/>
    <w:rsid w:val="00C23656"/>
    <w:rsid w:val="00C2461A"/>
    <w:rsid w:val="00C34AB8"/>
    <w:rsid w:val="00C36DCF"/>
    <w:rsid w:val="00C46F20"/>
    <w:rsid w:val="00C74C7B"/>
    <w:rsid w:val="00C76B4E"/>
    <w:rsid w:val="00C96045"/>
    <w:rsid w:val="00CC345D"/>
    <w:rsid w:val="00CC7767"/>
    <w:rsid w:val="00CF5013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30971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EE514F"/>
    <w:rsid w:val="00F030C2"/>
    <w:rsid w:val="00F40692"/>
    <w:rsid w:val="00F44C7C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3</Pages>
  <Words>3393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5318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3</cp:revision>
  <cp:lastPrinted>2019-03-25T16:24:00Z</cp:lastPrinted>
  <dcterms:created xsi:type="dcterms:W3CDTF">2023-04-19T13:58:00Z</dcterms:created>
  <dcterms:modified xsi:type="dcterms:W3CDTF">2023-04-19T13:58:00Z</dcterms:modified>
</cp:coreProperties>
</file>