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6B6" w:rsidRDefault="005936B6" w:rsidP="005936B6">
      <w:pPr>
        <w:jc w:val="center"/>
        <w:rPr>
          <w:b/>
          <w:lang w:val="lv-LV"/>
        </w:rPr>
      </w:pPr>
      <w:bookmarkStart w:id="0" w:name="_GoBack"/>
      <w:bookmarkEnd w:id="0"/>
      <w:r>
        <w:rPr>
          <w:b/>
          <w:lang w:val="lv-LV"/>
        </w:rPr>
        <w:t>SAP HANA tehniskā specifikācija.</w:t>
      </w:r>
    </w:p>
    <w:p w:rsidR="005936B6" w:rsidRDefault="005936B6" w:rsidP="005936B6">
      <w:pPr>
        <w:rPr>
          <w:lang w:val="lv-LV"/>
        </w:rPr>
      </w:pPr>
    </w:p>
    <w:tbl>
      <w:tblPr>
        <w:tblW w:w="10031" w:type="dxa"/>
        <w:tblCellSpacing w:w="11" w:type="dxa"/>
        <w:tblInd w:w="-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4"/>
        <w:gridCol w:w="7637"/>
      </w:tblGrid>
      <w:tr w:rsidR="005936B6" w:rsidTr="000E20FD">
        <w:trPr>
          <w:cantSplit/>
          <w:tblHeader/>
          <w:tblCellSpacing w:w="11" w:type="dxa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936B6" w:rsidRDefault="005936B6" w:rsidP="000E20FD">
            <w:pPr>
              <w:jc w:val="center"/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Nosaukums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936B6" w:rsidRDefault="005936B6" w:rsidP="000E20FD">
            <w:pPr>
              <w:jc w:val="center"/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Prasības</w:t>
            </w:r>
          </w:p>
        </w:tc>
      </w:tr>
      <w:tr w:rsidR="005936B6" w:rsidTr="000E20FD">
        <w:trPr>
          <w:cantSplit/>
          <w:tblCellSpacing w:w="11" w:type="dxa"/>
        </w:trPr>
        <w:tc>
          <w:tcPr>
            <w:tcW w:w="9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B6" w:rsidRDefault="005936B6" w:rsidP="000E20FD">
            <w:pPr>
              <w:jc w:val="center"/>
              <w:rPr>
                <w:sz w:val="22"/>
                <w:lang w:val="lv-LV" w:eastAsia="lv-LV"/>
              </w:rPr>
            </w:pPr>
            <w:r>
              <w:rPr>
                <w:b/>
                <w:sz w:val="22"/>
                <w:lang w:val="lv-LV" w:eastAsia="lv-LV"/>
              </w:rPr>
              <w:t>Serveris 1 Iekārta (</w:t>
            </w:r>
            <w:proofErr w:type="spellStart"/>
            <w:r>
              <w:rPr>
                <w:b/>
                <w:sz w:val="22"/>
                <w:lang w:val="lv-LV" w:eastAsia="lv-LV"/>
              </w:rPr>
              <w:t>Appliance</w:t>
            </w:r>
            <w:proofErr w:type="spellEnd"/>
            <w:r>
              <w:rPr>
                <w:b/>
                <w:sz w:val="22"/>
                <w:lang w:val="lv-LV" w:eastAsia="lv-LV"/>
              </w:rPr>
              <w:t>)</w:t>
            </w:r>
          </w:p>
        </w:tc>
      </w:tr>
      <w:tr w:rsidR="005936B6" w:rsidRPr="002135E9" w:rsidTr="000E20FD">
        <w:trPr>
          <w:cantSplit/>
          <w:tblCellSpacing w:w="11" w:type="dxa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B6" w:rsidRDefault="005936B6" w:rsidP="000E20FD">
            <w:pPr>
              <w:jc w:val="center"/>
              <w:rPr>
                <w:sz w:val="22"/>
                <w:lang w:val="lv-LV" w:eastAsia="lv-LV"/>
              </w:rPr>
            </w:pPr>
            <w:bookmarkStart w:id="1" w:name="_Hlk531768038"/>
            <w:r>
              <w:rPr>
                <w:sz w:val="22"/>
                <w:lang w:val="lv-LV" w:eastAsia="lv-LV"/>
              </w:rPr>
              <w:t>Procesori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B6" w:rsidRDefault="005936B6" w:rsidP="000E20FD">
            <w:pPr>
              <w:jc w:val="both"/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 xml:space="preserve">Divi divdesmit astoņi kodolu 64-bitu </w:t>
            </w:r>
            <w:r>
              <w:rPr>
                <w:i/>
                <w:iCs/>
                <w:sz w:val="22"/>
                <w:lang w:val="lv-LV" w:eastAsia="lv-LV"/>
              </w:rPr>
              <w:t xml:space="preserve">x86 </w:t>
            </w:r>
            <w:r>
              <w:rPr>
                <w:sz w:val="22"/>
                <w:lang w:val="lv-LV" w:eastAsia="lv-LV"/>
              </w:rPr>
              <w:t>arhitektūras</w:t>
            </w:r>
            <w:r w:rsidRPr="001237AD">
              <w:rPr>
                <w:color w:val="000000"/>
                <w:lang w:val="lv-LV" w:eastAsia="lv-LV"/>
              </w:rPr>
              <w:t xml:space="preserve"> Intel </w:t>
            </w:r>
            <w:proofErr w:type="spellStart"/>
            <w:r w:rsidRPr="001237AD">
              <w:rPr>
                <w:color w:val="000000"/>
                <w:lang w:val="lv-LV" w:eastAsia="lv-LV"/>
              </w:rPr>
              <w:t>Skylake-Platinium</w:t>
            </w:r>
            <w:proofErr w:type="spellEnd"/>
            <w:r w:rsidRPr="001237AD">
              <w:rPr>
                <w:color w:val="000000"/>
                <w:lang w:val="lv-LV" w:eastAsia="lv-LV"/>
              </w:rPr>
              <w:t xml:space="preserve"> 81XX</w:t>
            </w:r>
            <w:r>
              <w:rPr>
                <w:sz w:val="22"/>
                <w:lang w:val="lv-LV" w:eastAsia="lv-LV"/>
              </w:rPr>
              <w:t xml:space="preserve"> procesori ar takts frekvenci vismaz 2.1 GHz ar iespēju palielināt procesoru skaitu līdz četriem nemainot servera pamatplati</w:t>
            </w:r>
          </w:p>
        </w:tc>
      </w:tr>
      <w:bookmarkEnd w:id="1"/>
      <w:tr w:rsidR="005936B6" w:rsidRPr="00074A37" w:rsidTr="000E20FD">
        <w:trPr>
          <w:cantSplit/>
          <w:tblCellSpacing w:w="11" w:type="dxa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B6" w:rsidRDefault="005936B6" w:rsidP="000E20FD">
            <w:pPr>
              <w:jc w:val="center"/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Atmiņa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B6" w:rsidRDefault="005936B6" w:rsidP="000E20FD">
            <w:pPr>
              <w:jc w:val="both"/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 xml:space="preserve">768 GB </w:t>
            </w:r>
            <w:r w:rsidRPr="009708F0">
              <w:rPr>
                <w:color w:val="000000"/>
                <w:lang w:val="lv-LV" w:eastAsia="lv-LV"/>
              </w:rPr>
              <w:t>DDR4-2666</w:t>
            </w:r>
            <w:r>
              <w:rPr>
                <w:sz w:val="22"/>
                <w:lang w:val="lv-LV" w:eastAsia="lv-LV"/>
              </w:rPr>
              <w:t xml:space="preserve"> ar iespēju palielināt līdz 1536 GB</w:t>
            </w:r>
            <w:r>
              <w:rPr>
                <w:color w:val="FF0000"/>
                <w:sz w:val="22"/>
                <w:lang w:val="lv-LV" w:eastAsia="lv-LV"/>
              </w:rPr>
              <w:t xml:space="preserve"> </w:t>
            </w:r>
            <w:r w:rsidRPr="008D0574">
              <w:rPr>
                <w:sz w:val="22"/>
                <w:lang w:val="lv-LV" w:eastAsia="lv-LV"/>
              </w:rPr>
              <w:t>ar sākotnēju moduļu saglabāšanu. Kopumā sistēmai jāatbalsta 6 TB.</w:t>
            </w:r>
          </w:p>
        </w:tc>
      </w:tr>
      <w:tr w:rsidR="005936B6" w:rsidRPr="002135E9" w:rsidTr="000E20FD">
        <w:trPr>
          <w:cantSplit/>
          <w:tblCellSpacing w:w="11" w:type="dxa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B6" w:rsidRDefault="005936B6" w:rsidP="000E20FD">
            <w:pPr>
              <w:jc w:val="center"/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Servera disku apakšsistēma, iekšējā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B6" w:rsidRDefault="005936B6" w:rsidP="000E20FD">
            <w:pPr>
              <w:ind w:left="720" w:hanging="720"/>
              <w:jc w:val="both"/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 xml:space="preserve">Vismaz 12 (divpadsmit) 1.8 </w:t>
            </w:r>
            <w:r w:rsidRPr="00E85928">
              <w:rPr>
                <w:color w:val="000000"/>
                <w:lang w:val="lv-LV" w:eastAsia="lv-LV"/>
              </w:rPr>
              <w:t xml:space="preserve">TB SAS 12G Enterprise 10 K </w:t>
            </w:r>
            <w:r>
              <w:rPr>
                <w:sz w:val="22"/>
                <w:lang w:val="lv-LV" w:eastAsia="lv-LV"/>
              </w:rPr>
              <w:t>diski.</w:t>
            </w:r>
          </w:p>
          <w:p w:rsidR="005936B6" w:rsidRDefault="005936B6" w:rsidP="000E20FD">
            <w:pPr>
              <w:ind w:left="720" w:hanging="720"/>
              <w:jc w:val="both"/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Vismaz 3(trīs) 400</w:t>
            </w:r>
            <w:r w:rsidRPr="00E85928">
              <w:rPr>
                <w:color w:val="000000"/>
                <w:lang w:val="lv-LV" w:eastAsia="lv-LV"/>
              </w:rPr>
              <w:t xml:space="preserve">GB SAS 12G </w:t>
            </w:r>
            <w:r w:rsidRPr="002639C4">
              <w:rPr>
                <w:color w:val="000000"/>
                <w:lang w:val="lv-LV" w:eastAsia="lv-LV"/>
              </w:rPr>
              <w:t>diski.</w:t>
            </w:r>
          </w:p>
          <w:p w:rsidR="005936B6" w:rsidRDefault="005936B6" w:rsidP="000E20FD">
            <w:pPr>
              <w:jc w:val="both"/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Diskiem jānodrošina iespēju tos nomainīt bez servera apstādināšanas (</w:t>
            </w:r>
            <w:proofErr w:type="spellStart"/>
            <w:r>
              <w:rPr>
                <w:sz w:val="22"/>
                <w:lang w:val="lv-LV" w:eastAsia="lv-LV"/>
              </w:rPr>
              <w:t>hot</w:t>
            </w:r>
            <w:proofErr w:type="spellEnd"/>
            <w:r>
              <w:rPr>
                <w:sz w:val="22"/>
                <w:lang w:val="lv-LV" w:eastAsia="lv-LV"/>
              </w:rPr>
              <w:t xml:space="preserve"> </w:t>
            </w:r>
            <w:proofErr w:type="spellStart"/>
            <w:r>
              <w:rPr>
                <w:sz w:val="22"/>
                <w:lang w:val="lv-LV" w:eastAsia="lv-LV"/>
              </w:rPr>
              <w:t>swap</w:t>
            </w:r>
            <w:proofErr w:type="spellEnd"/>
            <w:r>
              <w:rPr>
                <w:sz w:val="22"/>
                <w:lang w:val="lv-LV" w:eastAsia="lv-LV"/>
              </w:rPr>
              <w:t>)</w:t>
            </w:r>
          </w:p>
          <w:p w:rsidR="005936B6" w:rsidRDefault="005936B6" w:rsidP="000E20FD">
            <w:pPr>
              <w:jc w:val="both"/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 xml:space="preserve">Disku kontrollerim jābūt komplektētam vismaz 2GB </w:t>
            </w:r>
            <w:proofErr w:type="spellStart"/>
            <w:r>
              <w:rPr>
                <w:sz w:val="22"/>
                <w:lang w:val="lv-LV" w:eastAsia="lv-LV"/>
              </w:rPr>
              <w:t>cache</w:t>
            </w:r>
            <w:proofErr w:type="spellEnd"/>
            <w:r>
              <w:rPr>
                <w:sz w:val="22"/>
                <w:lang w:val="lv-LV" w:eastAsia="lv-LV"/>
              </w:rPr>
              <w:t xml:space="preserve"> atmiņu, kas nodrošināta pret datu zudumu barošanas pārtraukuma gadījumā, jānodrošina RAID 0, 1, 5, 6, 10,  līmeņu atbalsts.</w:t>
            </w:r>
          </w:p>
        </w:tc>
      </w:tr>
      <w:tr w:rsidR="005936B6" w:rsidRPr="009C7AAC" w:rsidTr="000E20FD">
        <w:trPr>
          <w:cantSplit/>
          <w:tblCellSpacing w:w="11" w:type="dxa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B6" w:rsidRDefault="005936B6" w:rsidP="000E20FD">
            <w:pPr>
              <w:jc w:val="center"/>
              <w:rPr>
                <w:sz w:val="22"/>
                <w:lang w:val="lv-LV" w:eastAsia="lv-LV"/>
              </w:rPr>
            </w:pPr>
            <w:bookmarkStart w:id="2" w:name="_Hlk531768391"/>
            <w:r>
              <w:rPr>
                <w:sz w:val="22"/>
                <w:lang w:val="lv-LV" w:eastAsia="lv-LV"/>
              </w:rPr>
              <w:t xml:space="preserve">Lokālā tīkla </w:t>
            </w:r>
            <w:proofErr w:type="spellStart"/>
            <w:r>
              <w:rPr>
                <w:sz w:val="22"/>
                <w:lang w:val="lv-LV" w:eastAsia="lv-LV"/>
              </w:rPr>
              <w:t>pieslēgums</w:t>
            </w:r>
            <w:proofErr w:type="spellEnd"/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B6" w:rsidRDefault="005936B6" w:rsidP="000E20FD">
            <w:pPr>
              <w:jc w:val="both"/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 xml:space="preserve">Vismaz divas kartes ar </w:t>
            </w:r>
            <w:r w:rsidRPr="002639C4">
              <w:rPr>
                <w:color w:val="000000"/>
                <w:lang w:val="fr-FR" w:eastAsia="lv-LV"/>
              </w:rPr>
              <w:t>10Gb 2-port SFP+ Adapter</w:t>
            </w:r>
            <w:r>
              <w:rPr>
                <w:sz w:val="22"/>
                <w:lang w:val="lv-LV" w:eastAsia="lv-LV"/>
              </w:rPr>
              <w:t xml:space="preserve"> </w:t>
            </w:r>
          </w:p>
          <w:p w:rsidR="005936B6" w:rsidRDefault="005936B6" w:rsidP="000E20FD">
            <w:pPr>
              <w:jc w:val="both"/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 xml:space="preserve">Vismaz viena integrēta </w:t>
            </w:r>
            <w:proofErr w:type="spellStart"/>
            <w:r w:rsidRPr="00460555">
              <w:rPr>
                <w:sz w:val="22"/>
                <w:lang w:val="lv-LV" w:eastAsia="lv-LV"/>
              </w:rPr>
              <w:t>Ethernet</w:t>
            </w:r>
            <w:proofErr w:type="spellEnd"/>
            <w:r w:rsidRPr="00460555">
              <w:rPr>
                <w:sz w:val="22"/>
                <w:lang w:val="lv-LV" w:eastAsia="lv-LV"/>
              </w:rPr>
              <w:t xml:space="preserve"> 1Gb 4-port</w:t>
            </w:r>
            <w:r>
              <w:rPr>
                <w:sz w:val="22"/>
                <w:lang w:val="lv-LV" w:eastAsia="lv-LV"/>
              </w:rPr>
              <w:t xml:space="preserve"> karte</w:t>
            </w:r>
          </w:p>
          <w:p w:rsidR="005936B6" w:rsidRDefault="005936B6" w:rsidP="000E20FD">
            <w:pPr>
              <w:jc w:val="both"/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 xml:space="preserve">Vismaz viena integrēta </w:t>
            </w:r>
            <w:proofErr w:type="spellStart"/>
            <w:r w:rsidRPr="00460555">
              <w:rPr>
                <w:sz w:val="22"/>
                <w:lang w:val="lv-LV" w:eastAsia="lv-LV"/>
              </w:rPr>
              <w:t>Ethernet</w:t>
            </w:r>
            <w:proofErr w:type="spellEnd"/>
            <w:r w:rsidRPr="00460555">
              <w:rPr>
                <w:sz w:val="22"/>
                <w:lang w:val="lv-LV" w:eastAsia="lv-LV"/>
              </w:rPr>
              <w:t xml:space="preserve"> 10Gb 2-port</w:t>
            </w:r>
            <w:r>
              <w:rPr>
                <w:sz w:val="22"/>
                <w:lang w:val="lv-LV" w:eastAsia="lv-LV"/>
              </w:rPr>
              <w:t xml:space="preserve"> karte</w:t>
            </w:r>
          </w:p>
        </w:tc>
      </w:tr>
      <w:tr w:rsidR="005936B6" w:rsidRPr="009C7AAC" w:rsidTr="000E20FD">
        <w:trPr>
          <w:cantSplit/>
          <w:tblCellSpacing w:w="11" w:type="dxa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B6" w:rsidRDefault="005936B6" w:rsidP="000E20FD">
            <w:pPr>
              <w:jc w:val="center"/>
              <w:rPr>
                <w:sz w:val="22"/>
                <w:lang w:val="lv-LV" w:eastAsia="lv-LV"/>
              </w:rPr>
            </w:pPr>
            <w:bookmarkStart w:id="3" w:name="_Hlk531768843"/>
            <w:bookmarkEnd w:id="2"/>
            <w:r>
              <w:rPr>
                <w:sz w:val="22"/>
                <w:lang w:val="lv-LV" w:eastAsia="lv-LV"/>
              </w:rPr>
              <w:t>Barošana un ventilatori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B6" w:rsidRDefault="005936B6" w:rsidP="000E20FD">
            <w:pPr>
              <w:jc w:val="both"/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Dublēti (redundanti)  barošanas bloki ar iespēju tos nomainīt bez servera apstādināšanas (</w:t>
            </w:r>
            <w:proofErr w:type="spellStart"/>
            <w:r>
              <w:rPr>
                <w:i/>
                <w:sz w:val="22"/>
                <w:lang w:val="lv-LV" w:eastAsia="lv-LV"/>
              </w:rPr>
              <w:t>hot</w:t>
            </w:r>
            <w:proofErr w:type="spellEnd"/>
            <w:r>
              <w:rPr>
                <w:i/>
                <w:sz w:val="22"/>
                <w:lang w:val="lv-LV" w:eastAsia="lv-LV"/>
              </w:rPr>
              <w:t xml:space="preserve"> </w:t>
            </w:r>
            <w:proofErr w:type="spellStart"/>
            <w:r>
              <w:rPr>
                <w:i/>
                <w:sz w:val="22"/>
                <w:lang w:val="lv-LV" w:eastAsia="lv-LV"/>
              </w:rPr>
              <w:t>swap</w:t>
            </w:r>
            <w:proofErr w:type="spellEnd"/>
            <w:r>
              <w:rPr>
                <w:sz w:val="22"/>
                <w:lang w:val="lv-LV" w:eastAsia="lv-LV"/>
              </w:rPr>
              <w:t>)</w:t>
            </w:r>
          </w:p>
        </w:tc>
      </w:tr>
      <w:tr w:rsidR="005936B6" w:rsidRPr="002135E9" w:rsidTr="000E20FD">
        <w:trPr>
          <w:cantSplit/>
          <w:tblCellSpacing w:w="11" w:type="dxa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B6" w:rsidRDefault="005936B6" w:rsidP="000E20FD">
            <w:pPr>
              <w:jc w:val="center"/>
              <w:rPr>
                <w:sz w:val="22"/>
                <w:lang w:val="lv-LV" w:eastAsia="lv-LV"/>
              </w:rPr>
            </w:pPr>
            <w:bookmarkStart w:id="4" w:name="_Hlk531768866"/>
            <w:bookmarkEnd w:id="3"/>
            <w:r>
              <w:rPr>
                <w:sz w:val="22"/>
                <w:lang w:val="lv-LV" w:eastAsia="lv-LV"/>
              </w:rPr>
              <w:t>Servera formas izpildījums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B6" w:rsidRDefault="005936B6" w:rsidP="000E20FD">
            <w:pPr>
              <w:jc w:val="both"/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19” statnē montējams. Aprīkojums montēšanai Pasūtītāja statnē, t.sk. kabeļu vadotne “</w:t>
            </w:r>
            <w:proofErr w:type="spellStart"/>
            <w:r>
              <w:rPr>
                <w:sz w:val="22"/>
                <w:lang w:val="lv-LV" w:eastAsia="lv-LV"/>
              </w:rPr>
              <w:t>cable</w:t>
            </w:r>
            <w:proofErr w:type="spellEnd"/>
            <w:r>
              <w:rPr>
                <w:sz w:val="22"/>
                <w:lang w:val="lv-LV" w:eastAsia="lv-LV"/>
              </w:rPr>
              <w:t xml:space="preserve"> </w:t>
            </w:r>
            <w:proofErr w:type="spellStart"/>
            <w:r>
              <w:rPr>
                <w:sz w:val="22"/>
                <w:lang w:val="lv-LV" w:eastAsia="lv-LV"/>
              </w:rPr>
              <w:t>management</w:t>
            </w:r>
            <w:proofErr w:type="spellEnd"/>
            <w:r>
              <w:rPr>
                <w:sz w:val="22"/>
                <w:lang w:val="lv-LV" w:eastAsia="lv-LV"/>
              </w:rPr>
              <w:t xml:space="preserve"> </w:t>
            </w:r>
            <w:proofErr w:type="spellStart"/>
            <w:r>
              <w:rPr>
                <w:sz w:val="22"/>
                <w:lang w:val="lv-LV" w:eastAsia="lv-LV"/>
              </w:rPr>
              <w:t>arm</w:t>
            </w:r>
            <w:proofErr w:type="spellEnd"/>
            <w:r>
              <w:rPr>
                <w:sz w:val="22"/>
                <w:lang w:val="lv-LV" w:eastAsia="lv-LV"/>
              </w:rPr>
              <w:t>”, iekļauts komplektācijā.</w:t>
            </w:r>
          </w:p>
        </w:tc>
      </w:tr>
      <w:bookmarkEnd w:id="4"/>
      <w:tr w:rsidR="005936B6" w:rsidRPr="002639C4" w:rsidTr="000E20FD">
        <w:trPr>
          <w:cantSplit/>
          <w:tblCellSpacing w:w="11" w:type="dxa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B6" w:rsidRDefault="005936B6" w:rsidP="000E20FD">
            <w:pPr>
              <w:jc w:val="center"/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USB porti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B6" w:rsidRDefault="005936B6" w:rsidP="000E20FD">
            <w:pPr>
              <w:jc w:val="both"/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 xml:space="preserve">Vismaz viens USB 2.0 ports uz servera priekšējā paneļa, </w:t>
            </w:r>
          </w:p>
          <w:p w:rsidR="005936B6" w:rsidRDefault="005936B6" w:rsidP="000E20FD">
            <w:pPr>
              <w:jc w:val="both"/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vismaz viens USB 2.0 ports servera iekšpusē.</w:t>
            </w:r>
          </w:p>
        </w:tc>
      </w:tr>
      <w:tr w:rsidR="005936B6" w:rsidRPr="009C7AAC" w:rsidTr="000E20FD">
        <w:trPr>
          <w:cantSplit/>
          <w:tblCellSpacing w:w="11" w:type="dxa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B6" w:rsidRDefault="005936B6" w:rsidP="000E20FD">
            <w:pPr>
              <w:jc w:val="center"/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Vienlaicīgi lietotāji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B6" w:rsidRDefault="005936B6" w:rsidP="000E20FD">
            <w:pPr>
              <w:jc w:val="both"/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 xml:space="preserve">Serverim jānodrošina </w:t>
            </w:r>
            <w:r w:rsidRPr="00C0554A">
              <w:rPr>
                <w:b/>
                <w:sz w:val="22"/>
                <w:lang w:val="lv-LV" w:eastAsia="lv-LV"/>
              </w:rPr>
              <w:t>500</w:t>
            </w:r>
            <w:r>
              <w:rPr>
                <w:sz w:val="22"/>
                <w:lang w:val="lv-LV" w:eastAsia="lv-LV"/>
              </w:rPr>
              <w:t xml:space="preserve"> vienlaicīgu lietotāju darbība</w:t>
            </w:r>
          </w:p>
        </w:tc>
      </w:tr>
      <w:tr w:rsidR="005936B6" w:rsidTr="000E20FD">
        <w:trPr>
          <w:cantSplit/>
          <w:tblCellSpacing w:w="11" w:type="dxa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B6" w:rsidRPr="00273176" w:rsidRDefault="005936B6" w:rsidP="000E20FD">
            <w:pPr>
              <w:jc w:val="center"/>
              <w:rPr>
                <w:sz w:val="22"/>
                <w:lang w:val="lv-LV" w:eastAsia="lv-LV"/>
              </w:rPr>
            </w:pPr>
            <w:bookmarkStart w:id="5" w:name="_Hlk531771134"/>
            <w:r w:rsidRPr="00273176">
              <w:rPr>
                <w:b/>
                <w:sz w:val="22"/>
                <w:lang w:val="lv-LV" w:eastAsia="lv-LV"/>
              </w:rPr>
              <w:t>Serveris 1 Iekārta (</w:t>
            </w:r>
            <w:proofErr w:type="spellStart"/>
            <w:r w:rsidRPr="00273176">
              <w:rPr>
                <w:b/>
                <w:sz w:val="22"/>
                <w:lang w:val="lv-LV" w:eastAsia="lv-LV"/>
              </w:rPr>
              <w:t>Appliance</w:t>
            </w:r>
            <w:proofErr w:type="spellEnd"/>
            <w:r w:rsidRPr="00273176">
              <w:rPr>
                <w:b/>
                <w:sz w:val="22"/>
                <w:lang w:val="lv-LV" w:eastAsia="lv-LV"/>
              </w:rPr>
              <w:t xml:space="preserve"> )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B6" w:rsidRPr="00273176" w:rsidRDefault="005936B6" w:rsidP="000E20FD">
            <w:pPr>
              <w:jc w:val="both"/>
              <w:rPr>
                <w:sz w:val="22"/>
                <w:lang w:val="lv-LV"/>
              </w:rPr>
            </w:pPr>
            <w:r w:rsidRPr="00273176">
              <w:rPr>
                <w:sz w:val="22"/>
                <w:lang w:val="lv-LV"/>
              </w:rPr>
              <w:t xml:space="preserve">Iekārtai jābūt aktīvai “SAP HANA </w:t>
            </w:r>
            <w:proofErr w:type="spellStart"/>
            <w:r w:rsidRPr="00273176">
              <w:rPr>
                <w:sz w:val="22"/>
                <w:lang w:val="lv-LV"/>
              </w:rPr>
              <w:t>Certified</w:t>
            </w:r>
            <w:proofErr w:type="spellEnd"/>
            <w:r w:rsidRPr="00273176">
              <w:rPr>
                <w:sz w:val="22"/>
                <w:lang w:val="lv-LV"/>
              </w:rPr>
              <w:t xml:space="preserve"> </w:t>
            </w:r>
            <w:proofErr w:type="spellStart"/>
            <w:r w:rsidRPr="00273176">
              <w:rPr>
                <w:sz w:val="22"/>
                <w:lang w:val="lv-LV"/>
              </w:rPr>
              <w:t>Appliance</w:t>
            </w:r>
            <w:proofErr w:type="spellEnd"/>
            <w:r w:rsidRPr="00273176">
              <w:rPr>
                <w:sz w:val="22"/>
                <w:lang w:val="lv-LV"/>
              </w:rPr>
              <w:t>”  sertifikācijai</w:t>
            </w:r>
            <w:r>
              <w:rPr>
                <w:sz w:val="22"/>
                <w:lang w:val="lv-LV"/>
              </w:rPr>
              <w:t>,</w:t>
            </w:r>
            <w:r w:rsidRPr="00273176">
              <w:rPr>
                <w:sz w:val="22"/>
                <w:lang w:val="lv-LV"/>
              </w:rPr>
              <w:t xml:space="preserve"> kas izmanto RHEL 7.5 </w:t>
            </w:r>
            <w:proofErr w:type="spellStart"/>
            <w:r w:rsidRPr="00273176">
              <w:rPr>
                <w:sz w:val="22"/>
                <w:lang w:val="lv-LV"/>
              </w:rPr>
              <w:t>for</w:t>
            </w:r>
            <w:proofErr w:type="spellEnd"/>
            <w:r w:rsidRPr="00273176">
              <w:rPr>
                <w:sz w:val="22"/>
                <w:lang w:val="lv-LV"/>
              </w:rPr>
              <w:t xml:space="preserve"> SAP Solutions operētājsistēmu.</w:t>
            </w:r>
          </w:p>
          <w:p w:rsidR="005936B6" w:rsidRPr="00273176" w:rsidRDefault="005936B6" w:rsidP="000E20FD">
            <w:pPr>
              <w:rPr>
                <w:color w:val="333333"/>
                <w:sz w:val="22"/>
                <w:shd w:val="clear" w:color="auto" w:fill="FFFFFF"/>
                <w:lang w:val="lt-LT"/>
              </w:rPr>
            </w:pPr>
            <w:r w:rsidRPr="00760A44">
              <w:rPr>
                <w:sz w:val="22"/>
                <w:lang w:val="lv-LV"/>
              </w:rPr>
              <w:t xml:space="preserve">Sertifikācijai jābūt pārbaudāmai vietnē </w:t>
            </w:r>
            <w:r w:rsidRPr="00760A44">
              <w:rPr>
                <w:sz w:val="22"/>
                <w:lang w:val="lt-LT"/>
              </w:rPr>
              <w:fldChar w:fldCharType="begin"/>
            </w:r>
            <w:r w:rsidRPr="00760A44">
              <w:rPr>
                <w:sz w:val="22"/>
                <w:lang w:val="lt-LT"/>
              </w:rPr>
              <w:instrText xml:space="preserve"> HYPERLINK "https://www.sap.com/dmc/exp/2014-09-02-hana-hardware/enEN/appliances.html" </w:instrText>
            </w:r>
            <w:r w:rsidRPr="00760A44">
              <w:rPr>
                <w:sz w:val="22"/>
                <w:lang w:val="lt-LT"/>
              </w:rPr>
              <w:fldChar w:fldCharType="separate"/>
            </w:r>
            <w:r w:rsidRPr="00273176">
              <w:rPr>
                <w:color w:val="0563C1"/>
                <w:sz w:val="22"/>
                <w:u w:val="single"/>
                <w:lang w:val="lv-LV"/>
              </w:rPr>
              <w:t>https://www.sap.com/dmc/exp/2014-09-02-</w:t>
            </w:r>
            <w:r w:rsidRPr="00273176">
              <w:rPr>
                <w:sz w:val="22"/>
                <w:lang w:val="lv-LV"/>
              </w:rPr>
              <w:t xml:space="preserve"> Iekārtas tipam jābūt “</w:t>
            </w:r>
            <w:r w:rsidRPr="00273176">
              <w:rPr>
                <w:color w:val="333333"/>
                <w:sz w:val="22"/>
                <w:shd w:val="clear" w:color="auto" w:fill="FFFFFF"/>
                <w:lang w:val="lt-LT"/>
              </w:rPr>
              <w:t>Scale-up: BWoH/BW4H/DM/SoH/S4H“</w:t>
            </w:r>
          </w:p>
          <w:p w:rsidR="005936B6" w:rsidRPr="00760A44" w:rsidRDefault="005936B6" w:rsidP="000E20FD">
            <w:pPr>
              <w:spacing w:after="160" w:line="312" w:lineRule="auto"/>
              <w:rPr>
                <w:sz w:val="22"/>
                <w:lang w:val="lv-LV"/>
              </w:rPr>
            </w:pPr>
            <w:r w:rsidRPr="00273176">
              <w:rPr>
                <w:color w:val="0563C1"/>
                <w:sz w:val="22"/>
                <w:u w:val="single"/>
                <w:lang w:val="lv-LV"/>
              </w:rPr>
              <w:t xml:space="preserve"> hana-</w:t>
            </w:r>
            <w:proofErr w:type="spellStart"/>
            <w:r w:rsidRPr="00273176">
              <w:rPr>
                <w:color w:val="0563C1"/>
                <w:sz w:val="22"/>
                <w:u w:val="single"/>
                <w:lang w:val="lv-LV"/>
              </w:rPr>
              <w:t>hardware</w:t>
            </w:r>
            <w:proofErr w:type="spellEnd"/>
            <w:r w:rsidRPr="00273176">
              <w:rPr>
                <w:color w:val="0563C1"/>
                <w:sz w:val="22"/>
                <w:u w:val="single"/>
                <w:lang w:val="lv-LV"/>
              </w:rPr>
              <w:t>/</w:t>
            </w:r>
            <w:proofErr w:type="spellStart"/>
            <w:r w:rsidRPr="00273176">
              <w:rPr>
                <w:color w:val="0563C1"/>
                <w:sz w:val="22"/>
                <w:u w:val="single"/>
                <w:lang w:val="lv-LV"/>
              </w:rPr>
              <w:t>enEN</w:t>
            </w:r>
            <w:proofErr w:type="spellEnd"/>
            <w:r w:rsidRPr="00273176">
              <w:rPr>
                <w:color w:val="0563C1"/>
                <w:sz w:val="22"/>
                <w:u w:val="single"/>
                <w:lang w:val="lv-LV"/>
              </w:rPr>
              <w:t>/appliances.html</w:t>
            </w:r>
            <w:r w:rsidRPr="00760A44">
              <w:rPr>
                <w:sz w:val="22"/>
                <w:lang w:val="lt-LT"/>
              </w:rPr>
              <w:fldChar w:fldCharType="end"/>
            </w:r>
          </w:p>
          <w:p w:rsidR="005936B6" w:rsidRPr="00273176" w:rsidRDefault="005936B6" w:rsidP="000E20FD">
            <w:pPr>
              <w:jc w:val="both"/>
              <w:rPr>
                <w:sz w:val="22"/>
                <w:lang w:val="lv-LV" w:eastAsia="lv-LV"/>
              </w:rPr>
            </w:pPr>
          </w:p>
        </w:tc>
      </w:tr>
      <w:tr w:rsidR="005936B6" w:rsidTr="000E20FD">
        <w:trPr>
          <w:cantSplit/>
          <w:tblCellSpacing w:w="11" w:type="dxa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B6" w:rsidRPr="00B20254" w:rsidRDefault="005936B6" w:rsidP="000E20FD">
            <w:pPr>
              <w:jc w:val="center"/>
              <w:rPr>
                <w:b/>
                <w:sz w:val="22"/>
                <w:lang w:val="lv-LV" w:eastAsia="lv-LV"/>
              </w:rPr>
            </w:pPr>
            <w:r w:rsidRPr="00B20254">
              <w:rPr>
                <w:lang w:val="lv-LV"/>
              </w:rPr>
              <w:t>Iekārtas rūpnīcas integrācija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B6" w:rsidRPr="00760A44" w:rsidRDefault="005936B6" w:rsidP="000E20FD">
            <w:pPr>
              <w:spacing w:after="160" w:line="312" w:lineRule="auto"/>
              <w:rPr>
                <w:sz w:val="21"/>
                <w:szCs w:val="21"/>
                <w:lang w:val="lv-LV"/>
              </w:rPr>
            </w:pPr>
            <w:r w:rsidRPr="00760A44">
              <w:rPr>
                <w:sz w:val="21"/>
                <w:szCs w:val="21"/>
                <w:lang w:val="lv-LV"/>
              </w:rPr>
              <w:t>Iekārtas ražotajam jānodrošina pilna iekārtas rūpnīcas integrācija:</w:t>
            </w:r>
          </w:p>
          <w:p w:rsidR="005936B6" w:rsidRPr="00760A44" w:rsidRDefault="005936B6" w:rsidP="005936B6">
            <w:pPr>
              <w:numPr>
                <w:ilvl w:val="0"/>
                <w:numId w:val="2"/>
              </w:numPr>
              <w:spacing w:after="160" w:line="312" w:lineRule="auto"/>
              <w:contextualSpacing/>
              <w:rPr>
                <w:sz w:val="21"/>
                <w:szCs w:val="21"/>
                <w:lang w:val="lv-LV"/>
              </w:rPr>
            </w:pPr>
            <w:r w:rsidRPr="00760A44">
              <w:rPr>
                <w:sz w:val="21"/>
                <w:szCs w:val="21"/>
                <w:lang w:val="lv-LV"/>
              </w:rPr>
              <w:t>Aparatūras komponentes</w:t>
            </w:r>
          </w:p>
          <w:p w:rsidR="005936B6" w:rsidRPr="00760A44" w:rsidRDefault="005936B6" w:rsidP="005936B6">
            <w:pPr>
              <w:numPr>
                <w:ilvl w:val="0"/>
                <w:numId w:val="2"/>
              </w:numPr>
              <w:spacing w:after="160" w:line="312" w:lineRule="auto"/>
              <w:contextualSpacing/>
              <w:rPr>
                <w:sz w:val="21"/>
                <w:szCs w:val="21"/>
                <w:lang w:val="lv-LV"/>
              </w:rPr>
            </w:pPr>
            <w:r w:rsidRPr="00760A44">
              <w:rPr>
                <w:sz w:val="21"/>
                <w:szCs w:val="21"/>
                <w:lang w:val="lv-LV"/>
              </w:rPr>
              <w:t>Operētājsistēmas un SAP programatūras instalācijā</w:t>
            </w:r>
          </w:p>
          <w:p w:rsidR="005936B6" w:rsidRPr="00760A44" w:rsidRDefault="005936B6" w:rsidP="005936B6">
            <w:pPr>
              <w:numPr>
                <w:ilvl w:val="0"/>
                <w:numId w:val="2"/>
              </w:numPr>
              <w:spacing w:after="160" w:line="312" w:lineRule="auto"/>
              <w:contextualSpacing/>
              <w:rPr>
                <w:sz w:val="21"/>
                <w:szCs w:val="21"/>
                <w:lang w:val="lv-LV"/>
              </w:rPr>
            </w:pPr>
            <w:r w:rsidRPr="00760A44">
              <w:rPr>
                <w:sz w:val="21"/>
                <w:szCs w:val="21"/>
                <w:lang w:val="lv-LV"/>
              </w:rPr>
              <w:t>Aparatūras un programmatūras parametru konfigurēšana (datu sējumu konfigurācijā, tikla parametri, sistēmas administratoru konti, SAP instances un to parametri utt.)</w:t>
            </w:r>
          </w:p>
          <w:p w:rsidR="005936B6" w:rsidRPr="00760A44" w:rsidRDefault="005936B6" w:rsidP="005936B6">
            <w:pPr>
              <w:numPr>
                <w:ilvl w:val="0"/>
                <w:numId w:val="2"/>
              </w:numPr>
              <w:spacing w:after="160" w:line="312" w:lineRule="auto"/>
              <w:contextualSpacing/>
              <w:rPr>
                <w:sz w:val="21"/>
                <w:szCs w:val="21"/>
                <w:lang w:val="lv-LV"/>
              </w:rPr>
            </w:pPr>
            <w:r w:rsidRPr="00760A44">
              <w:rPr>
                <w:sz w:val="21"/>
                <w:szCs w:val="21"/>
                <w:lang w:val="lv-LV"/>
              </w:rPr>
              <w:t>Pilnas sistēmas testēšana</w:t>
            </w:r>
          </w:p>
          <w:p w:rsidR="005936B6" w:rsidRPr="00B20254" w:rsidRDefault="005936B6" w:rsidP="000E20FD">
            <w:pPr>
              <w:jc w:val="both"/>
              <w:rPr>
                <w:lang w:val="lv-LV"/>
              </w:rPr>
            </w:pPr>
          </w:p>
        </w:tc>
      </w:tr>
      <w:tr w:rsidR="005936B6" w:rsidRPr="002135E9" w:rsidTr="000E20FD">
        <w:trPr>
          <w:cantSplit/>
          <w:tblCellSpacing w:w="11" w:type="dxa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B6" w:rsidRPr="00B20254" w:rsidRDefault="005936B6" w:rsidP="000E20FD">
            <w:pPr>
              <w:jc w:val="center"/>
              <w:rPr>
                <w:lang w:val="lv-LV"/>
              </w:rPr>
            </w:pPr>
            <w:r w:rsidRPr="00B20254">
              <w:rPr>
                <w:lang w:val="lv-LV"/>
              </w:rPr>
              <w:lastRenderedPageBreak/>
              <w:t>Integrācija pasūtīt</w:t>
            </w:r>
            <w:r>
              <w:rPr>
                <w:lang w:val="lv-LV"/>
              </w:rPr>
              <w:t>ā</w:t>
            </w:r>
            <w:r w:rsidRPr="00B20254">
              <w:rPr>
                <w:lang w:val="lv-LV"/>
              </w:rPr>
              <w:t>j</w:t>
            </w:r>
            <w:r>
              <w:rPr>
                <w:lang w:val="lv-LV"/>
              </w:rPr>
              <w:t>a infrastruktūrā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B6" w:rsidRPr="00760A44" w:rsidRDefault="005936B6" w:rsidP="000E20FD">
            <w:pPr>
              <w:spacing w:after="160" w:line="312" w:lineRule="auto"/>
              <w:rPr>
                <w:sz w:val="21"/>
                <w:szCs w:val="21"/>
                <w:lang w:val="lv-LV"/>
              </w:rPr>
            </w:pPr>
            <w:r w:rsidRPr="00760A44">
              <w:rPr>
                <w:sz w:val="21"/>
                <w:szCs w:val="21"/>
                <w:lang w:val="lv-LV"/>
              </w:rPr>
              <w:t>Iekārtas ražotajam jānodrošina</w:t>
            </w:r>
            <w:r>
              <w:rPr>
                <w:sz w:val="21"/>
                <w:szCs w:val="21"/>
                <w:lang w:val="lv-LV"/>
              </w:rPr>
              <w:t xml:space="preserve"> risinājuma integrācija pasūtītā</w:t>
            </w:r>
            <w:r w:rsidRPr="00760A44">
              <w:rPr>
                <w:sz w:val="21"/>
                <w:szCs w:val="21"/>
                <w:lang w:val="lv-LV"/>
              </w:rPr>
              <w:t>j</w:t>
            </w:r>
            <w:r>
              <w:rPr>
                <w:sz w:val="21"/>
                <w:szCs w:val="21"/>
                <w:lang w:val="lv-LV"/>
              </w:rPr>
              <w:t>a</w:t>
            </w:r>
            <w:r w:rsidRPr="00760A44">
              <w:rPr>
                <w:sz w:val="21"/>
                <w:szCs w:val="21"/>
                <w:lang w:val="lv-LV"/>
              </w:rPr>
              <w:t xml:space="preserve"> infrastruktūr</w:t>
            </w:r>
            <w:r>
              <w:rPr>
                <w:sz w:val="21"/>
                <w:szCs w:val="21"/>
                <w:lang w:val="lv-LV"/>
              </w:rPr>
              <w:t>ā</w:t>
            </w:r>
            <w:r w:rsidRPr="00760A44">
              <w:rPr>
                <w:sz w:val="21"/>
                <w:szCs w:val="21"/>
                <w:lang w:val="lv-LV"/>
              </w:rPr>
              <w:t xml:space="preserve"> un ieviešanā:</w:t>
            </w:r>
          </w:p>
          <w:p w:rsidR="005936B6" w:rsidRPr="00760A44" w:rsidRDefault="005936B6" w:rsidP="005936B6">
            <w:pPr>
              <w:numPr>
                <w:ilvl w:val="0"/>
                <w:numId w:val="3"/>
              </w:numPr>
              <w:spacing w:after="160" w:line="312" w:lineRule="auto"/>
              <w:ind w:left="504" w:hanging="284"/>
              <w:contextualSpacing/>
              <w:rPr>
                <w:sz w:val="21"/>
                <w:szCs w:val="21"/>
                <w:lang w:val="lv-LV"/>
              </w:rPr>
            </w:pPr>
            <w:r w:rsidRPr="00760A44">
              <w:rPr>
                <w:sz w:val="21"/>
                <w:szCs w:val="21"/>
                <w:lang w:val="lv-LV"/>
              </w:rPr>
              <w:t>Integrācija datu centrā t</w:t>
            </w:r>
            <w:r>
              <w:rPr>
                <w:sz w:val="21"/>
                <w:szCs w:val="21"/>
                <w:lang w:val="lv-LV"/>
              </w:rPr>
              <w:t>ī</w:t>
            </w:r>
            <w:r w:rsidRPr="00760A44">
              <w:rPr>
                <w:sz w:val="21"/>
                <w:szCs w:val="21"/>
                <w:lang w:val="lv-LV"/>
              </w:rPr>
              <w:t>kla infrastruktūrā</w:t>
            </w:r>
          </w:p>
          <w:p w:rsidR="005936B6" w:rsidRPr="00760A44" w:rsidRDefault="005936B6" w:rsidP="005936B6">
            <w:pPr>
              <w:numPr>
                <w:ilvl w:val="0"/>
                <w:numId w:val="3"/>
              </w:numPr>
              <w:spacing w:after="160" w:line="312" w:lineRule="auto"/>
              <w:ind w:left="504" w:hanging="284"/>
              <w:contextualSpacing/>
              <w:rPr>
                <w:sz w:val="21"/>
                <w:szCs w:val="21"/>
                <w:lang w:val="lv-LV"/>
              </w:rPr>
            </w:pPr>
            <w:r w:rsidRPr="00760A44">
              <w:rPr>
                <w:sz w:val="21"/>
                <w:szCs w:val="21"/>
                <w:lang w:val="lv-LV"/>
              </w:rPr>
              <w:t>SAP HANA parametru pārbaude (apertūras un tikla parametri, caurlaidspēja)</w:t>
            </w:r>
          </w:p>
          <w:p w:rsidR="005936B6" w:rsidRPr="00760A44" w:rsidRDefault="005936B6" w:rsidP="005936B6">
            <w:pPr>
              <w:numPr>
                <w:ilvl w:val="0"/>
                <w:numId w:val="3"/>
              </w:numPr>
              <w:spacing w:after="160" w:line="312" w:lineRule="auto"/>
              <w:ind w:left="504" w:hanging="284"/>
              <w:contextualSpacing/>
              <w:rPr>
                <w:sz w:val="21"/>
                <w:szCs w:val="21"/>
                <w:lang w:val="lv-LV"/>
              </w:rPr>
            </w:pPr>
            <w:r w:rsidRPr="00760A44">
              <w:rPr>
                <w:sz w:val="21"/>
                <w:szCs w:val="21"/>
                <w:lang w:val="lv-LV"/>
              </w:rPr>
              <w:t>SAP HANA programatūras jauninājums līdz aktuālai “</w:t>
            </w:r>
            <w:proofErr w:type="spellStart"/>
            <w:r w:rsidRPr="00760A44">
              <w:rPr>
                <w:sz w:val="21"/>
                <w:szCs w:val="21"/>
                <w:lang w:val="lv-LV"/>
              </w:rPr>
              <w:t>general</w:t>
            </w:r>
            <w:proofErr w:type="spellEnd"/>
            <w:r w:rsidRPr="00760A44">
              <w:rPr>
                <w:sz w:val="21"/>
                <w:szCs w:val="21"/>
                <w:lang w:val="lv-LV"/>
              </w:rPr>
              <w:t xml:space="preserve"> </w:t>
            </w:r>
            <w:proofErr w:type="spellStart"/>
            <w:r w:rsidRPr="00760A44">
              <w:rPr>
                <w:sz w:val="21"/>
                <w:szCs w:val="21"/>
                <w:lang w:val="lv-LV"/>
              </w:rPr>
              <w:t>release</w:t>
            </w:r>
            <w:proofErr w:type="spellEnd"/>
            <w:r w:rsidRPr="00760A44">
              <w:rPr>
                <w:sz w:val="21"/>
                <w:szCs w:val="21"/>
                <w:lang w:val="lv-LV"/>
              </w:rPr>
              <w:t>” versijai</w:t>
            </w:r>
          </w:p>
          <w:p w:rsidR="005936B6" w:rsidRPr="008D0574" w:rsidRDefault="005936B6" w:rsidP="005936B6">
            <w:pPr>
              <w:numPr>
                <w:ilvl w:val="0"/>
                <w:numId w:val="3"/>
              </w:numPr>
              <w:spacing w:after="160" w:line="312" w:lineRule="auto"/>
              <w:ind w:left="504" w:hanging="284"/>
              <w:contextualSpacing/>
              <w:rPr>
                <w:sz w:val="21"/>
                <w:szCs w:val="21"/>
                <w:lang w:val="lv-LV"/>
              </w:rPr>
            </w:pPr>
            <w:r w:rsidRPr="008D0574">
              <w:rPr>
                <w:sz w:val="21"/>
                <w:szCs w:val="21"/>
                <w:lang w:val="lv-LV"/>
              </w:rPr>
              <w:t xml:space="preserve">SAP HANA </w:t>
            </w:r>
            <w:proofErr w:type="spellStart"/>
            <w:r w:rsidRPr="008D0574">
              <w:rPr>
                <w:sz w:val="21"/>
                <w:szCs w:val="21"/>
                <w:lang w:val="lv-LV"/>
              </w:rPr>
              <w:t>Studio</w:t>
            </w:r>
            <w:proofErr w:type="spellEnd"/>
            <w:r w:rsidRPr="008D0574">
              <w:rPr>
                <w:sz w:val="21"/>
                <w:szCs w:val="21"/>
                <w:lang w:val="lv-LV"/>
              </w:rPr>
              <w:t xml:space="preserve"> instalācija uz pasūtītajā datora</w:t>
            </w:r>
          </w:p>
          <w:p w:rsidR="005936B6" w:rsidRPr="00760A44" w:rsidRDefault="005936B6" w:rsidP="005936B6">
            <w:pPr>
              <w:numPr>
                <w:ilvl w:val="0"/>
                <w:numId w:val="3"/>
              </w:numPr>
              <w:spacing w:after="160" w:line="312" w:lineRule="auto"/>
              <w:ind w:left="504" w:hanging="284"/>
              <w:contextualSpacing/>
              <w:rPr>
                <w:sz w:val="21"/>
                <w:szCs w:val="21"/>
                <w:lang w:val="lv-LV"/>
              </w:rPr>
            </w:pPr>
            <w:r w:rsidRPr="00760A44">
              <w:rPr>
                <w:sz w:val="21"/>
                <w:szCs w:val="21"/>
                <w:lang w:val="lv-LV"/>
              </w:rPr>
              <w:t>Testa datu imports SAP HANA datubāzē un testa atskaites izveide</w:t>
            </w:r>
          </w:p>
          <w:p w:rsidR="005936B6" w:rsidRPr="00760A44" w:rsidRDefault="005936B6" w:rsidP="005936B6">
            <w:pPr>
              <w:numPr>
                <w:ilvl w:val="0"/>
                <w:numId w:val="3"/>
              </w:numPr>
              <w:spacing w:after="160" w:line="312" w:lineRule="auto"/>
              <w:ind w:left="504" w:hanging="284"/>
              <w:contextualSpacing/>
              <w:rPr>
                <w:sz w:val="21"/>
                <w:szCs w:val="21"/>
                <w:lang w:val="lv-LV"/>
              </w:rPr>
            </w:pPr>
            <w:r w:rsidRPr="00760A44">
              <w:rPr>
                <w:sz w:val="21"/>
                <w:szCs w:val="21"/>
                <w:lang w:val="lv-LV"/>
              </w:rPr>
              <w:t>SAP HANA replikācijas konfigurācijas izveide starp divām iekārtam, viena klienta vai aplikāciju servera konfigurēšanā savienojuma atjaunošanai</w:t>
            </w:r>
          </w:p>
          <w:p w:rsidR="005936B6" w:rsidRPr="00760A44" w:rsidRDefault="005936B6" w:rsidP="005936B6">
            <w:pPr>
              <w:numPr>
                <w:ilvl w:val="0"/>
                <w:numId w:val="3"/>
              </w:numPr>
              <w:spacing w:after="160" w:line="312" w:lineRule="auto"/>
              <w:ind w:left="504" w:hanging="284"/>
              <w:contextualSpacing/>
              <w:rPr>
                <w:sz w:val="21"/>
                <w:szCs w:val="21"/>
                <w:lang w:val="lv-LV"/>
              </w:rPr>
            </w:pPr>
            <w:r w:rsidRPr="00760A44">
              <w:rPr>
                <w:sz w:val="21"/>
                <w:szCs w:val="21"/>
                <w:lang w:val="lv-LV"/>
              </w:rPr>
              <w:t>Replikācijas paslēgšanas testi  no primāras uz sekundāru iekārtu, no sekundāras uz primāru iekārtu</w:t>
            </w:r>
          </w:p>
          <w:p w:rsidR="005936B6" w:rsidRPr="00B20254" w:rsidRDefault="005936B6" w:rsidP="005936B6">
            <w:pPr>
              <w:pStyle w:val="ListParagraph"/>
              <w:numPr>
                <w:ilvl w:val="0"/>
                <w:numId w:val="3"/>
              </w:numPr>
              <w:spacing w:after="160" w:line="312" w:lineRule="auto"/>
              <w:ind w:left="504" w:hanging="284"/>
              <w:rPr>
                <w:lang w:val="lv-LV"/>
              </w:rPr>
            </w:pPr>
            <w:r w:rsidRPr="00B20254">
              <w:rPr>
                <w:lang w:val="lv-LV"/>
              </w:rPr>
              <w:t>Pasūtītāja pārstāvju iepazīšana ar iekārtas konfigurāciju un SAP HANA darbības pamatiem (līdz 2 stundām)</w:t>
            </w:r>
          </w:p>
          <w:p w:rsidR="005936B6" w:rsidRPr="00B20254" w:rsidRDefault="005936B6" w:rsidP="005936B6">
            <w:pPr>
              <w:pStyle w:val="ListParagraph"/>
              <w:numPr>
                <w:ilvl w:val="0"/>
                <w:numId w:val="3"/>
              </w:numPr>
              <w:spacing w:after="160" w:line="312" w:lineRule="auto"/>
              <w:ind w:left="504" w:hanging="284"/>
              <w:rPr>
                <w:lang w:val="lv-LV"/>
              </w:rPr>
            </w:pPr>
            <w:r w:rsidRPr="00B20254">
              <w:rPr>
                <w:lang w:val="lv-LV"/>
              </w:rPr>
              <w:t>Piegādātajam jāiekļauj ieviešanas pakalpojumu ražotāja produktu kodus un noradi uz publiski pieejamu detalizētu ieviešanas pakalpojumu aprakstiem (latviešu vai angļu valoda)</w:t>
            </w:r>
          </w:p>
          <w:p w:rsidR="005936B6" w:rsidRPr="00B20254" w:rsidRDefault="005936B6" w:rsidP="000E20FD">
            <w:pPr>
              <w:spacing w:after="160" w:line="312" w:lineRule="auto"/>
              <w:rPr>
                <w:sz w:val="21"/>
                <w:szCs w:val="21"/>
                <w:lang w:val="lv-LV"/>
              </w:rPr>
            </w:pPr>
          </w:p>
        </w:tc>
      </w:tr>
      <w:tr w:rsidR="005936B6" w:rsidRPr="002135E9" w:rsidTr="000E20FD">
        <w:trPr>
          <w:cantSplit/>
          <w:tblCellSpacing w:w="11" w:type="dxa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B6" w:rsidRPr="00B20254" w:rsidRDefault="005936B6" w:rsidP="000E20FD">
            <w:pPr>
              <w:jc w:val="center"/>
              <w:rPr>
                <w:lang w:val="lv-LV"/>
              </w:rPr>
            </w:pPr>
            <w:r w:rsidRPr="00B20254">
              <w:rPr>
                <w:lang w:val="lv-LV"/>
              </w:rPr>
              <w:t>Tehniskais atbalsts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B6" w:rsidRPr="00B20254" w:rsidRDefault="005936B6" w:rsidP="000E20FD">
            <w:pPr>
              <w:spacing w:after="160" w:line="312" w:lineRule="auto"/>
              <w:rPr>
                <w:sz w:val="21"/>
                <w:szCs w:val="21"/>
                <w:lang w:val="lv-LV"/>
              </w:rPr>
            </w:pPr>
            <w:r w:rsidRPr="00B20254">
              <w:rPr>
                <w:sz w:val="21"/>
                <w:szCs w:val="21"/>
                <w:lang w:val="lv-LV"/>
              </w:rPr>
              <w:t>Ražotajam nodrošina iekārtu kompleksais tehniskais atbalsts:</w:t>
            </w:r>
          </w:p>
          <w:p w:rsidR="005936B6" w:rsidRPr="00B20254" w:rsidRDefault="005936B6" w:rsidP="005936B6">
            <w:pPr>
              <w:numPr>
                <w:ilvl w:val="0"/>
                <w:numId w:val="4"/>
              </w:numPr>
              <w:spacing w:after="160" w:line="312" w:lineRule="auto"/>
              <w:ind w:left="504" w:hanging="284"/>
              <w:contextualSpacing/>
              <w:rPr>
                <w:sz w:val="21"/>
                <w:szCs w:val="21"/>
                <w:lang w:val="lv-LV"/>
              </w:rPr>
            </w:pPr>
            <w:r w:rsidRPr="00B20254">
              <w:rPr>
                <w:sz w:val="21"/>
                <w:szCs w:val="21"/>
                <w:lang w:val="lv-LV"/>
              </w:rPr>
              <w:t>Viens atbalsta kontakts pilnai iekārtas funkcionalitātei: aparatūrā, operētājsistēma un tieša komunikācija ar SAP tehniska atbalsta jautājumos (problēmu eskalācijas, utt</w:t>
            </w:r>
            <w:r>
              <w:rPr>
                <w:sz w:val="21"/>
                <w:szCs w:val="21"/>
                <w:lang w:val="lv-LV"/>
              </w:rPr>
              <w:t>.</w:t>
            </w:r>
            <w:r w:rsidRPr="00B20254">
              <w:rPr>
                <w:sz w:val="21"/>
                <w:szCs w:val="21"/>
                <w:lang w:val="lv-LV"/>
              </w:rPr>
              <w:t>)</w:t>
            </w:r>
          </w:p>
          <w:p w:rsidR="005936B6" w:rsidRPr="00B20254" w:rsidRDefault="005936B6" w:rsidP="005936B6">
            <w:pPr>
              <w:numPr>
                <w:ilvl w:val="0"/>
                <w:numId w:val="4"/>
              </w:numPr>
              <w:spacing w:after="160" w:line="312" w:lineRule="auto"/>
              <w:ind w:left="504" w:hanging="284"/>
              <w:contextualSpacing/>
              <w:rPr>
                <w:sz w:val="21"/>
                <w:szCs w:val="21"/>
                <w:lang w:val="lv-LV"/>
              </w:rPr>
            </w:pPr>
            <w:r w:rsidRPr="00B20254">
              <w:rPr>
                <w:sz w:val="21"/>
                <w:szCs w:val="21"/>
                <w:lang w:val="lv-LV"/>
              </w:rPr>
              <w:t>Atbildībā par iekārtas SAP HANA savietojamību un tehnisko parametru atbilstību</w:t>
            </w:r>
          </w:p>
          <w:p w:rsidR="005936B6" w:rsidRPr="00B20254" w:rsidRDefault="005936B6" w:rsidP="005936B6">
            <w:pPr>
              <w:numPr>
                <w:ilvl w:val="0"/>
                <w:numId w:val="4"/>
              </w:numPr>
              <w:spacing w:after="160" w:line="312" w:lineRule="auto"/>
              <w:ind w:left="504" w:hanging="284"/>
              <w:contextualSpacing/>
              <w:rPr>
                <w:sz w:val="21"/>
                <w:szCs w:val="21"/>
                <w:lang w:val="lv-LV"/>
              </w:rPr>
            </w:pPr>
            <w:r w:rsidRPr="00B20254">
              <w:rPr>
                <w:sz w:val="21"/>
                <w:szCs w:val="21"/>
                <w:lang w:val="lv-LV"/>
              </w:rPr>
              <w:t>Iespēja nodrošināt iekārtas pilnas darbspējas atjaunošanu, problēmu diagnosticēšanu un bojājumu analīzi</w:t>
            </w:r>
          </w:p>
          <w:p w:rsidR="005936B6" w:rsidRPr="00B20254" w:rsidRDefault="005936B6" w:rsidP="005936B6">
            <w:pPr>
              <w:numPr>
                <w:ilvl w:val="0"/>
                <w:numId w:val="4"/>
              </w:numPr>
              <w:spacing w:after="160" w:line="312" w:lineRule="auto"/>
              <w:ind w:left="504" w:hanging="284"/>
              <w:contextualSpacing/>
              <w:rPr>
                <w:sz w:val="21"/>
                <w:szCs w:val="21"/>
                <w:lang w:val="lv-LV"/>
              </w:rPr>
            </w:pPr>
            <w:r w:rsidRPr="00B20254">
              <w:rPr>
                <w:sz w:val="21"/>
                <w:szCs w:val="21"/>
                <w:lang w:val="lv-LV"/>
              </w:rPr>
              <w:t>Jāpiedāvā iekārtas mašīnkoda un programmatūras jauninājumu komplektus ar savstarpējas savietojamības testēšanu</w:t>
            </w:r>
          </w:p>
          <w:p w:rsidR="005936B6" w:rsidRPr="00B20254" w:rsidRDefault="005936B6" w:rsidP="000E20FD">
            <w:pPr>
              <w:spacing w:after="160" w:line="312" w:lineRule="auto"/>
              <w:rPr>
                <w:sz w:val="21"/>
                <w:szCs w:val="21"/>
                <w:lang w:val="lv-LV"/>
              </w:rPr>
            </w:pPr>
          </w:p>
        </w:tc>
      </w:tr>
      <w:tr w:rsidR="005936B6" w:rsidRPr="009C7AAC" w:rsidTr="000E20FD">
        <w:trPr>
          <w:cantSplit/>
          <w:tblCellSpacing w:w="11" w:type="dxa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B6" w:rsidRPr="00B20254" w:rsidRDefault="005936B6" w:rsidP="000E20FD">
            <w:pPr>
              <w:jc w:val="center"/>
              <w:rPr>
                <w:sz w:val="22"/>
                <w:lang w:val="lv-LV" w:eastAsia="lv-LV"/>
              </w:rPr>
            </w:pPr>
            <w:r w:rsidRPr="00B20254">
              <w:rPr>
                <w:sz w:val="22"/>
                <w:lang w:val="lv-LV" w:eastAsia="lv-LV"/>
              </w:rPr>
              <w:t>Administrēšana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B6" w:rsidRPr="00B20254" w:rsidRDefault="005936B6" w:rsidP="000E20FD">
            <w:pPr>
              <w:jc w:val="both"/>
              <w:rPr>
                <w:sz w:val="22"/>
                <w:lang w:val="lv-LV" w:eastAsia="lv-LV"/>
              </w:rPr>
            </w:pPr>
            <w:r w:rsidRPr="00B20254">
              <w:rPr>
                <w:sz w:val="22"/>
                <w:lang w:val="lv-LV" w:eastAsia="lv-LV"/>
              </w:rPr>
              <w:t>Sistēmas vadības apakšsistēma servera pārvaldībai, kura nodrošina vismaz šādu funkcionalitāti:</w:t>
            </w:r>
          </w:p>
          <w:p w:rsidR="005936B6" w:rsidRPr="00B20254" w:rsidRDefault="005936B6" w:rsidP="005936B6">
            <w:pPr>
              <w:numPr>
                <w:ilvl w:val="0"/>
                <w:numId w:val="1"/>
              </w:numPr>
              <w:jc w:val="both"/>
              <w:rPr>
                <w:sz w:val="22"/>
                <w:lang w:val="lv-LV" w:eastAsia="lv-LV"/>
              </w:rPr>
            </w:pPr>
            <w:r w:rsidRPr="00B20254">
              <w:rPr>
                <w:sz w:val="22"/>
                <w:lang w:val="lv-LV" w:eastAsia="lv-LV"/>
              </w:rPr>
              <w:t>Attālināta servera ieslēgšana / izslēgšana</w:t>
            </w:r>
          </w:p>
          <w:p w:rsidR="005936B6" w:rsidRPr="00B20254" w:rsidRDefault="005936B6" w:rsidP="005936B6">
            <w:pPr>
              <w:numPr>
                <w:ilvl w:val="0"/>
                <w:numId w:val="1"/>
              </w:numPr>
              <w:jc w:val="both"/>
              <w:rPr>
                <w:sz w:val="22"/>
                <w:lang w:val="lv-LV" w:eastAsia="lv-LV"/>
              </w:rPr>
            </w:pPr>
            <w:r w:rsidRPr="00B20254">
              <w:rPr>
                <w:sz w:val="22"/>
                <w:lang w:val="lv-LV" w:eastAsia="lv-LV"/>
              </w:rPr>
              <w:t xml:space="preserve">Servera komponentu darbaspējas </w:t>
            </w:r>
            <w:proofErr w:type="spellStart"/>
            <w:r w:rsidRPr="00B20254">
              <w:rPr>
                <w:sz w:val="22"/>
                <w:lang w:val="lv-LV" w:eastAsia="lv-LV"/>
              </w:rPr>
              <w:t>monitorēšana</w:t>
            </w:r>
            <w:proofErr w:type="spellEnd"/>
          </w:p>
          <w:p w:rsidR="005936B6" w:rsidRPr="00B20254" w:rsidRDefault="005936B6" w:rsidP="005936B6">
            <w:pPr>
              <w:numPr>
                <w:ilvl w:val="0"/>
                <w:numId w:val="1"/>
              </w:numPr>
              <w:jc w:val="both"/>
              <w:rPr>
                <w:sz w:val="22"/>
                <w:lang w:val="lv-LV" w:eastAsia="lv-LV"/>
              </w:rPr>
            </w:pPr>
            <w:r w:rsidRPr="00B20254">
              <w:rPr>
                <w:sz w:val="22"/>
                <w:lang w:val="lv-LV" w:eastAsia="lv-LV"/>
              </w:rPr>
              <w:t>Attālināta vadības konsole, kas nodrošina grafisko un simbolu režīmu izmantošanu</w:t>
            </w:r>
          </w:p>
          <w:p w:rsidR="005936B6" w:rsidRPr="00B20254" w:rsidRDefault="005936B6" w:rsidP="005936B6">
            <w:pPr>
              <w:numPr>
                <w:ilvl w:val="0"/>
                <w:numId w:val="1"/>
              </w:numPr>
              <w:jc w:val="both"/>
              <w:rPr>
                <w:sz w:val="22"/>
                <w:lang w:val="lv-LV" w:eastAsia="lv-LV"/>
              </w:rPr>
            </w:pPr>
            <w:r w:rsidRPr="00B20254">
              <w:rPr>
                <w:sz w:val="22"/>
                <w:lang w:val="lv-LV" w:eastAsia="lv-LV"/>
              </w:rPr>
              <w:t xml:space="preserve">Attālinātu datu nesēju (CD, DVD, ISO </w:t>
            </w:r>
            <w:proofErr w:type="spellStart"/>
            <w:r w:rsidRPr="00B20254">
              <w:rPr>
                <w:sz w:val="22"/>
                <w:lang w:val="lv-LV" w:eastAsia="lv-LV"/>
              </w:rPr>
              <w:t>image</w:t>
            </w:r>
            <w:proofErr w:type="spellEnd"/>
            <w:r w:rsidRPr="00B20254">
              <w:rPr>
                <w:sz w:val="22"/>
                <w:lang w:val="lv-LV" w:eastAsia="lv-LV"/>
              </w:rPr>
              <w:t xml:space="preserve">, </w:t>
            </w:r>
            <w:proofErr w:type="spellStart"/>
            <w:r w:rsidRPr="00B20254">
              <w:rPr>
                <w:sz w:val="22"/>
                <w:lang w:val="lv-LV" w:eastAsia="lv-LV"/>
              </w:rPr>
              <w:t>utml</w:t>
            </w:r>
            <w:proofErr w:type="spellEnd"/>
            <w:r w:rsidRPr="00B20254">
              <w:rPr>
                <w:sz w:val="22"/>
                <w:lang w:val="lv-LV" w:eastAsia="lv-LV"/>
              </w:rPr>
              <w:t>) pieslēgšana programmatūras instalācijai</w:t>
            </w:r>
          </w:p>
          <w:p w:rsidR="005936B6" w:rsidRPr="00B20254" w:rsidRDefault="005936B6" w:rsidP="000E20FD">
            <w:pPr>
              <w:jc w:val="both"/>
              <w:rPr>
                <w:sz w:val="22"/>
                <w:lang w:val="lv-LV" w:eastAsia="lv-LV"/>
              </w:rPr>
            </w:pPr>
            <w:r w:rsidRPr="00B20254">
              <w:rPr>
                <w:sz w:val="22"/>
                <w:lang w:val="lv-LV" w:eastAsia="lv-LV"/>
              </w:rPr>
              <w:t xml:space="preserve">Servera vadības apakšsistēma pieejama izmantojot atsevišķu 1Gb </w:t>
            </w:r>
            <w:proofErr w:type="spellStart"/>
            <w:r w:rsidRPr="00B20254">
              <w:rPr>
                <w:sz w:val="22"/>
                <w:lang w:val="lv-LV" w:eastAsia="lv-LV"/>
              </w:rPr>
              <w:t>Ethernet</w:t>
            </w:r>
            <w:proofErr w:type="spellEnd"/>
            <w:r w:rsidRPr="00B20254">
              <w:rPr>
                <w:sz w:val="22"/>
                <w:lang w:val="lv-LV" w:eastAsia="lv-LV"/>
              </w:rPr>
              <w:t xml:space="preserve"> portu.</w:t>
            </w:r>
          </w:p>
        </w:tc>
      </w:tr>
      <w:tr w:rsidR="005936B6" w:rsidRPr="009C7AAC" w:rsidTr="000E20FD">
        <w:trPr>
          <w:cantSplit/>
          <w:tblCellSpacing w:w="11" w:type="dxa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B6" w:rsidRPr="00B20254" w:rsidRDefault="005936B6" w:rsidP="000E20FD">
            <w:pPr>
              <w:jc w:val="center"/>
              <w:rPr>
                <w:sz w:val="22"/>
                <w:lang w:val="lv-LV" w:eastAsia="lv-LV"/>
              </w:rPr>
            </w:pP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B6" w:rsidRPr="00B20254" w:rsidRDefault="005936B6" w:rsidP="000E20FD">
            <w:pPr>
              <w:jc w:val="both"/>
              <w:rPr>
                <w:sz w:val="22"/>
                <w:lang w:val="lv-LV" w:eastAsia="lv-LV"/>
              </w:rPr>
            </w:pPr>
          </w:p>
        </w:tc>
      </w:tr>
      <w:tr w:rsidR="005936B6" w:rsidTr="000E20FD">
        <w:trPr>
          <w:cantSplit/>
          <w:tblCellSpacing w:w="11" w:type="dxa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B6" w:rsidRPr="00B20254" w:rsidRDefault="005936B6" w:rsidP="000E20FD">
            <w:pPr>
              <w:jc w:val="center"/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 xml:space="preserve">Iekārtas </w:t>
            </w:r>
            <w:r w:rsidRPr="00B20254">
              <w:rPr>
                <w:sz w:val="22"/>
                <w:lang w:val="lv-LV" w:eastAsia="lv-LV"/>
              </w:rPr>
              <w:t>operētājsistēma</w:t>
            </w:r>
            <w:r>
              <w:rPr>
                <w:sz w:val="22"/>
                <w:lang w:val="lv-LV" w:eastAsia="lv-LV"/>
              </w:rPr>
              <w:t>s atbalsts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B6" w:rsidRPr="00B20254" w:rsidRDefault="005936B6" w:rsidP="000E20FD">
            <w:pPr>
              <w:jc w:val="both"/>
              <w:rPr>
                <w:sz w:val="22"/>
                <w:lang w:val="lv-LV" w:eastAsia="lv-LV"/>
              </w:rPr>
            </w:pPr>
            <w:r w:rsidRPr="00B20254">
              <w:rPr>
                <w:sz w:val="22"/>
                <w:lang w:val="lv-LV" w:eastAsia="lv-LV"/>
              </w:rPr>
              <w:t xml:space="preserve">Red </w:t>
            </w:r>
            <w:proofErr w:type="spellStart"/>
            <w:r w:rsidRPr="00B20254">
              <w:rPr>
                <w:sz w:val="22"/>
                <w:lang w:val="lv-LV" w:eastAsia="lv-LV"/>
              </w:rPr>
              <w:t>Hat</w:t>
            </w:r>
            <w:proofErr w:type="spellEnd"/>
            <w:r w:rsidRPr="00B20254">
              <w:rPr>
                <w:sz w:val="22"/>
                <w:lang w:val="lv-LV" w:eastAsia="lv-LV"/>
              </w:rPr>
              <w:t xml:space="preserve"> Enterprise </w:t>
            </w:r>
            <w:proofErr w:type="spellStart"/>
            <w:r w:rsidRPr="00B20254">
              <w:rPr>
                <w:sz w:val="22"/>
                <w:lang w:val="lv-LV" w:eastAsia="lv-LV"/>
              </w:rPr>
              <w:t>Linux</w:t>
            </w:r>
            <w:proofErr w:type="spellEnd"/>
            <w:r w:rsidRPr="00B20254">
              <w:rPr>
                <w:sz w:val="22"/>
                <w:lang w:val="lv-LV" w:eastAsia="lv-LV"/>
              </w:rPr>
              <w:t xml:space="preserve"> </w:t>
            </w:r>
            <w:proofErr w:type="spellStart"/>
            <w:r w:rsidRPr="00B20254">
              <w:rPr>
                <w:sz w:val="22"/>
                <w:lang w:val="lv-LV" w:eastAsia="lv-LV"/>
              </w:rPr>
              <w:t>for</w:t>
            </w:r>
            <w:proofErr w:type="spellEnd"/>
            <w:r w:rsidRPr="00B20254">
              <w:rPr>
                <w:sz w:val="22"/>
                <w:lang w:val="lv-LV" w:eastAsia="lv-LV"/>
              </w:rPr>
              <w:t xml:space="preserve"> SAP Solutions </w:t>
            </w:r>
            <w:proofErr w:type="spellStart"/>
            <w:r w:rsidRPr="00B20254">
              <w:rPr>
                <w:sz w:val="22"/>
                <w:lang w:val="lv-LV" w:eastAsia="lv-LV"/>
              </w:rPr>
              <w:t>for</w:t>
            </w:r>
            <w:proofErr w:type="spellEnd"/>
            <w:r w:rsidRPr="00B20254">
              <w:rPr>
                <w:sz w:val="22"/>
                <w:lang w:val="lv-LV" w:eastAsia="lv-LV"/>
              </w:rPr>
              <w:t xml:space="preserve"> </w:t>
            </w:r>
            <w:proofErr w:type="spellStart"/>
            <w:r w:rsidRPr="00B20254">
              <w:rPr>
                <w:sz w:val="22"/>
                <w:lang w:val="lv-LV" w:eastAsia="lv-LV"/>
              </w:rPr>
              <w:t>Physical</w:t>
            </w:r>
            <w:proofErr w:type="spellEnd"/>
            <w:r w:rsidRPr="00B20254">
              <w:rPr>
                <w:sz w:val="22"/>
                <w:lang w:val="lv-LV" w:eastAsia="lv-LV"/>
              </w:rPr>
              <w:t xml:space="preserve"> </w:t>
            </w:r>
            <w:proofErr w:type="spellStart"/>
            <w:r w:rsidRPr="00B20254">
              <w:rPr>
                <w:sz w:val="22"/>
                <w:lang w:val="lv-LV" w:eastAsia="lv-LV"/>
              </w:rPr>
              <w:t>Nodes</w:t>
            </w:r>
            <w:proofErr w:type="spellEnd"/>
            <w:r w:rsidRPr="00B20254">
              <w:rPr>
                <w:sz w:val="22"/>
                <w:lang w:val="lv-LV" w:eastAsia="lv-LV"/>
              </w:rPr>
              <w:t xml:space="preserve"> </w:t>
            </w:r>
            <w:r w:rsidRPr="008D0574">
              <w:rPr>
                <w:sz w:val="22"/>
                <w:lang w:val="lv-LV" w:eastAsia="lv-LV"/>
              </w:rPr>
              <w:t>36 (trīsdesmit seši) mēneši  24x7 atbalstu.</w:t>
            </w:r>
          </w:p>
        </w:tc>
      </w:tr>
      <w:tr w:rsidR="005936B6" w:rsidRPr="009C7AAC" w:rsidTr="000E20FD">
        <w:trPr>
          <w:cantSplit/>
          <w:tblCellSpacing w:w="11" w:type="dxa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B6" w:rsidRDefault="005936B6" w:rsidP="000E20FD">
            <w:pPr>
              <w:jc w:val="center"/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Ražotāja garantija un atbalsts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B6" w:rsidRDefault="005936B6" w:rsidP="000E20FD">
            <w:pPr>
              <w:jc w:val="both"/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36 (trīsdesmit seši) mēneši no piegādes brīža ar 24x7 atbalstu.</w:t>
            </w:r>
          </w:p>
        </w:tc>
      </w:tr>
      <w:bookmarkEnd w:id="5"/>
      <w:tr w:rsidR="005936B6" w:rsidTr="000E20FD">
        <w:trPr>
          <w:cantSplit/>
          <w:tblCellSpacing w:w="11" w:type="dxa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36B6" w:rsidRDefault="005936B6" w:rsidP="000E20FD">
            <w:pPr>
              <w:jc w:val="center"/>
              <w:rPr>
                <w:sz w:val="22"/>
                <w:lang w:val="lv-LV" w:eastAsia="lv-LV"/>
              </w:rPr>
            </w:pPr>
          </w:p>
        </w:tc>
        <w:tc>
          <w:tcPr>
            <w:tcW w:w="7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6B6" w:rsidRDefault="005936B6" w:rsidP="000E20FD">
            <w:pPr>
              <w:jc w:val="both"/>
              <w:rPr>
                <w:sz w:val="22"/>
                <w:lang w:val="lv-LV" w:eastAsia="lv-LV"/>
              </w:rPr>
            </w:pPr>
            <w:r>
              <w:rPr>
                <w:b/>
                <w:sz w:val="22"/>
                <w:lang w:val="lv-LV" w:eastAsia="lv-LV"/>
              </w:rPr>
              <w:t xml:space="preserve">Serveris 2 kopā ar disku apakšsistēmu  </w:t>
            </w:r>
            <w:proofErr w:type="spellStart"/>
            <w:r>
              <w:rPr>
                <w:b/>
                <w:sz w:val="22"/>
                <w:lang w:val="lv-LV" w:eastAsia="lv-LV"/>
              </w:rPr>
              <w:t>Appliance</w:t>
            </w:r>
            <w:proofErr w:type="spellEnd"/>
          </w:p>
        </w:tc>
      </w:tr>
      <w:tr w:rsidR="005936B6" w:rsidRPr="002135E9" w:rsidTr="000E20FD">
        <w:trPr>
          <w:cantSplit/>
          <w:tblCellSpacing w:w="11" w:type="dxa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B6" w:rsidRDefault="005936B6" w:rsidP="000E20FD">
            <w:pPr>
              <w:jc w:val="center"/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Procesori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B6" w:rsidRDefault="005936B6" w:rsidP="000E20FD">
            <w:pPr>
              <w:jc w:val="both"/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 xml:space="preserve">Divi divdesmit astoņi kodolu 64-bitu </w:t>
            </w:r>
            <w:r>
              <w:rPr>
                <w:i/>
                <w:iCs/>
                <w:sz w:val="22"/>
                <w:lang w:val="lv-LV" w:eastAsia="lv-LV"/>
              </w:rPr>
              <w:t xml:space="preserve">x86 </w:t>
            </w:r>
            <w:r>
              <w:rPr>
                <w:sz w:val="22"/>
                <w:lang w:val="lv-LV" w:eastAsia="lv-LV"/>
              </w:rPr>
              <w:t>arhitektūras</w:t>
            </w:r>
            <w:r w:rsidRPr="001237AD">
              <w:rPr>
                <w:color w:val="000000"/>
                <w:lang w:val="lv-LV" w:eastAsia="lv-LV"/>
              </w:rPr>
              <w:t xml:space="preserve"> Intel </w:t>
            </w:r>
            <w:proofErr w:type="spellStart"/>
            <w:r w:rsidRPr="001237AD">
              <w:rPr>
                <w:color w:val="000000"/>
                <w:lang w:val="lv-LV" w:eastAsia="lv-LV"/>
              </w:rPr>
              <w:t>Skylake-Platinium</w:t>
            </w:r>
            <w:proofErr w:type="spellEnd"/>
            <w:r w:rsidRPr="001237AD">
              <w:rPr>
                <w:color w:val="000000"/>
                <w:lang w:val="lv-LV" w:eastAsia="lv-LV"/>
              </w:rPr>
              <w:t xml:space="preserve"> 81XX</w:t>
            </w:r>
            <w:r>
              <w:rPr>
                <w:sz w:val="22"/>
                <w:lang w:val="lv-LV" w:eastAsia="lv-LV"/>
              </w:rPr>
              <w:t xml:space="preserve"> procesori ar takts frekvenci vismaz 2.1 GHz ar iespēju palielināt procesoru skaitu līdz četriem nemainot servera pamatplati</w:t>
            </w:r>
          </w:p>
        </w:tc>
      </w:tr>
      <w:tr w:rsidR="005936B6" w:rsidRPr="00074A37" w:rsidTr="000E20FD">
        <w:trPr>
          <w:cantSplit/>
          <w:tblCellSpacing w:w="11" w:type="dxa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B6" w:rsidRDefault="005936B6" w:rsidP="000E20FD">
            <w:pPr>
              <w:jc w:val="center"/>
              <w:rPr>
                <w:sz w:val="22"/>
                <w:lang w:val="lv-LV" w:eastAsia="lv-LV"/>
              </w:rPr>
            </w:pPr>
            <w:bookmarkStart w:id="6" w:name="_Hlk531768299"/>
            <w:r>
              <w:rPr>
                <w:sz w:val="22"/>
                <w:lang w:val="lv-LV" w:eastAsia="lv-LV"/>
              </w:rPr>
              <w:lastRenderedPageBreak/>
              <w:t>Atmiņa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B6" w:rsidRDefault="005936B6" w:rsidP="000E20FD">
            <w:pPr>
              <w:jc w:val="both"/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 xml:space="preserve">768 GB </w:t>
            </w:r>
            <w:r w:rsidRPr="009708F0">
              <w:rPr>
                <w:color w:val="000000"/>
                <w:lang w:val="lv-LV" w:eastAsia="lv-LV"/>
              </w:rPr>
              <w:t>DDR4-2666</w:t>
            </w:r>
            <w:r>
              <w:rPr>
                <w:sz w:val="22"/>
                <w:lang w:val="lv-LV" w:eastAsia="lv-LV"/>
              </w:rPr>
              <w:t xml:space="preserve"> ar iespēju palielināt līdz 1536 GB</w:t>
            </w:r>
            <w:r>
              <w:rPr>
                <w:color w:val="FF0000"/>
                <w:sz w:val="22"/>
                <w:lang w:val="lv-LV" w:eastAsia="lv-LV"/>
              </w:rPr>
              <w:t xml:space="preserve"> </w:t>
            </w:r>
            <w:r w:rsidRPr="008D0574">
              <w:rPr>
                <w:sz w:val="22"/>
                <w:lang w:val="lv-LV" w:eastAsia="lv-LV"/>
              </w:rPr>
              <w:t>ar sākotnēju moduļu saglabāšanu. Kopumā sistēmai jāatbalsta 6 TB.</w:t>
            </w:r>
          </w:p>
        </w:tc>
      </w:tr>
      <w:bookmarkEnd w:id="6"/>
      <w:tr w:rsidR="005936B6" w:rsidRPr="002135E9" w:rsidTr="000E20FD">
        <w:trPr>
          <w:cantSplit/>
          <w:tblCellSpacing w:w="11" w:type="dxa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B6" w:rsidRDefault="005936B6" w:rsidP="000E20FD">
            <w:pPr>
              <w:jc w:val="center"/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Servera disku apakšsistēma, iekšējā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B6" w:rsidRDefault="005936B6" w:rsidP="000E20FD">
            <w:pPr>
              <w:ind w:left="720" w:hanging="720"/>
              <w:jc w:val="both"/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 xml:space="preserve">Vismaz 12 (divpadsmit) 1.8 </w:t>
            </w:r>
            <w:r w:rsidRPr="002639C4">
              <w:rPr>
                <w:color w:val="000000"/>
                <w:lang w:val="lv-LV" w:eastAsia="lv-LV"/>
              </w:rPr>
              <w:t xml:space="preserve">TB SAS 12G Enterprise 10 K </w:t>
            </w:r>
            <w:r>
              <w:rPr>
                <w:sz w:val="22"/>
                <w:lang w:val="lv-LV" w:eastAsia="lv-LV"/>
              </w:rPr>
              <w:t>diski.</w:t>
            </w:r>
          </w:p>
          <w:p w:rsidR="005936B6" w:rsidRDefault="005936B6" w:rsidP="000E20FD">
            <w:pPr>
              <w:ind w:left="720" w:hanging="720"/>
              <w:jc w:val="both"/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Vismaz 3(trīs) 400</w:t>
            </w:r>
            <w:r w:rsidRPr="002639C4">
              <w:rPr>
                <w:color w:val="000000"/>
                <w:lang w:val="lv-LV" w:eastAsia="lv-LV"/>
              </w:rPr>
              <w:t>GB SAS 12G diski.</w:t>
            </w:r>
          </w:p>
          <w:p w:rsidR="005936B6" w:rsidRDefault="005936B6" w:rsidP="000E20FD">
            <w:pPr>
              <w:jc w:val="both"/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Diskiem jānodrošina iespēju tos nomainīt bez servera apstādināšanas (</w:t>
            </w:r>
            <w:proofErr w:type="spellStart"/>
            <w:r>
              <w:rPr>
                <w:sz w:val="22"/>
                <w:lang w:val="lv-LV" w:eastAsia="lv-LV"/>
              </w:rPr>
              <w:t>hot</w:t>
            </w:r>
            <w:proofErr w:type="spellEnd"/>
            <w:r>
              <w:rPr>
                <w:sz w:val="22"/>
                <w:lang w:val="lv-LV" w:eastAsia="lv-LV"/>
              </w:rPr>
              <w:t xml:space="preserve"> </w:t>
            </w:r>
            <w:proofErr w:type="spellStart"/>
            <w:r>
              <w:rPr>
                <w:sz w:val="22"/>
                <w:lang w:val="lv-LV" w:eastAsia="lv-LV"/>
              </w:rPr>
              <w:t>swap</w:t>
            </w:r>
            <w:proofErr w:type="spellEnd"/>
            <w:r>
              <w:rPr>
                <w:sz w:val="22"/>
                <w:lang w:val="lv-LV" w:eastAsia="lv-LV"/>
              </w:rPr>
              <w:t>)</w:t>
            </w:r>
          </w:p>
          <w:p w:rsidR="005936B6" w:rsidRDefault="005936B6" w:rsidP="000E20FD">
            <w:pPr>
              <w:jc w:val="both"/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 xml:space="preserve">Disku kontrollerim jābūt komplektētam vismaz 2GB </w:t>
            </w:r>
            <w:proofErr w:type="spellStart"/>
            <w:r>
              <w:rPr>
                <w:sz w:val="22"/>
                <w:lang w:val="lv-LV" w:eastAsia="lv-LV"/>
              </w:rPr>
              <w:t>cache</w:t>
            </w:r>
            <w:proofErr w:type="spellEnd"/>
            <w:r>
              <w:rPr>
                <w:sz w:val="22"/>
                <w:lang w:val="lv-LV" w:eastAsia="lv-LV"/>
              </w:rPr>
              <w:t xml:space="preserve"> atmiņu, kas nodrošināta pret datu zudumu barošanas pārtraukuma gadījumā, jānodrošina RAID 0, 1, 5, 6, 10,  līmeņu atbalsts.</w:t>
            </w:r>
          </w:p>
        </w:tc>
      </w:tr>
      <w:tr w:rsidR="005936B6" w:rsidRPr="009C7AAC" w:rsidTr="000E20FD">
        <w:trPr>
          <w:cantSplit/>
          <w:tblCellSpacing w:w="11" w:type="dxa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B6" w:rsidRDefault="005936B6" w:rsidP="000E20FD">
            <w:pPr>
              <w:jc w:val="center"/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 xml:space="preserve">Lokālā tīkla </w:t>
            </w:r>
            <w:proofErr w:type="spellStart"/>
            <w:r>
              <w:rPr>
                <w:sz w:val="22"/>
                <w:lang w:val="lv-LV" w:eastAsia="lv-LV"/>
              </w:rPr>
              <w:t>pieslēgums</w:t>
            </w:r>
            <w:proofErr w:type="spellEnd"/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B6" w:rsidRDefault="005936B6" w:rsidP="000E20FD">
            <w:pPr>
              <w:jc w:val="both"/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 xml:space="preserve">Vismaz divas kartes ar </w:t>
            </w:r>
            <w:r w:rsidRPr="002639C4">
              <w:rPr>
                <w:color w:val="000000"/>
                <w:lang w:val="fr-FR" w:eastAsia="lv-LV"/>
              </w:rPr>
              <w:t>10Gb 2-port SFP+ Adapter</w:t>
            </w:r>
            <w:r>
              <w:rPr>
                <w:sz w:val="22"/>
                <w:lang w:val="lv-LV" w:eastAsia="lv-LV"/>
              </w:rPr>
              <w:t xml:space="preserve"> </w:t>
            </w:r>
          </w:p>
          <w:p w:rsidR="005936B6" w:rsidRDefault="005936B6" w:rsidP="000E20FD">
            <w:pPr>
              <w:jc w:val="both"/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 xml:space="preserve">Vismaz viena integrēta </w:t>
            </w:r>
            <w:proofErr w:type="spellStart"/>
            <w:r w:rsidRPr="00460555">
              <w:rPr>
                <w:sz w:val="22"/>
                <w:lang w:val="lv-LV" w:eastAsia="lv-LV"/>
              </w:rPr>
              <w:t>Ethernet</w:t>
            </w:r>
            <w:proofErr w:type="spellEnd"/>
            <w:r w:rsidRPr="00460555">
              <w:rPr>
                <w:sz w:val="22"/>
                <w:lang w:val="lv-LV" w:eastAsia="lv-LV"/>
              </w:rPr>
              <w:t xml:space="preserve"> 1Gb 4-port</w:t>
            </w:r>
            <w:r>
              <w:rPr>
                <w:sz w:val="22"/>
                <w:lang w:val="lv-LV" w:eastAsia="lv-LV"/>
              </w:rPr>
              <w:t xml:space="preserve"> karte</w:t>
            </w:r>
          </w:p>
          <w:p w:rsidR="005936B6" w:rsidRDefault="005936B6" w:rsidP="000E20FD">
            <w:pPr>
              <w:jc w:val="both"/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 xml:space="preserve">Vismaz viena integrēta </w:t>
            </w:r>
            <w:proofErr w:type="spellStart"/>
            <w:r w:rsidRPr="00460555">
              <w:rPr>
                <w:sz w:val="22"/>
                <w:lang w:val="lv-LV" w:eastAsia="lv-LV"/>
              </w:rPr>
              <w:t>Ethernet</w:t>
            </w:r>
            <w:proofErr w:type="spellEnd"/>
            <w:r w:rsidRPr="00460555">
              <w:rPr>
                <w:sz w:val="22"/>
                <w:lang w:val="lv-LV" w:eastAsia="lv-LV"/>
              </w:rPr>
              <w:t xml:space="preserve"> 10Gb 2-port</w:t>
            </w:r>
            <w:r>
              <w:rPr>
                <w:sz w:val="22"/>
                <w:lang w:val="lv-LV" w:eastAsia="lv-LV"/>
              </w:rPr>
              <w:t xml:space="preserve"> karte</w:t>
            </w:r>
          </w:p>
        </w:tc>
      </w:tr>
      <w:tr w:rsidR="005936B6" w:rsidRPr="009C7AAC" w:rsidTr="000E20FD">
        <w:trPr>
          <w:cantSplit/>
          <w:tblCellSpacing w:w="11" w:type="dxa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B6" w:rsidRDefault="005936B6" w:rsidP="000E20FD">
            <w:pPr>
              <w:jc w:val="center"/>
              <w:rPr>
                <w:sz w:val="22"/>
                <w:lang w:val="lv-LV" w:eastAsia="lv-LV"/>
              </w:rPr>
            </w:pP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B6" w:rsidRDefault="005936B6" w:rsidP="000E20FD">
            <w:pPr>
              <w:jc w:val="both"/>
              <w:rPr>
                <w:sz w:val="22"/>
                <w:lang w:val="lv-LV" w:eastAsia="lv-LV"/>
              </w:rPr>
            </w:pPr>
          </w:p>
        </w:tc>
      </w:tr>
      <w:tr w:rsidR="005936B6" w:rsidRPr="009C7AAC" w:rsidTr="000E20FD">
        <w:trPr>
          <w:cantSplit/>
          <w:tblCellSpacing w:w="11" w:type="dxa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B6" w:rsidRDefault="005936B6" w:rsidP="000E20FD">
            <w:pPr>
              <w:jc w:val="center"/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Barošana un ventilatori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B6" w:rsidRDefault="005936B6" w:rsidP="000E20FD">
            <w:pPr>
              <w:jc w:val="both"/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Dublēti (redundanti)  barošanas bloki ar iespēju tos nomainīt bez servera apstādināšanas (</w:t>
            </w:r>
            <w:proofErr w:type="spellStart"/>
            <w:r>
              <w:rPr>
                <w:i/>
                <w:sz w:val="22"/>
                <w:lang w:val="lv-LV" w:eastAsia="lv-LV"/>
              </w:rPr>
              <w:t>hot</w:t>
            </w:r>
            <w:proofErr w:type="spellEnd"/>
            <w:r>
              <w:rPr>
                <w:i/>
                <w:sz w:val="22"/>
                <w:lang w:val="lv-LV" w:eastAsia="lv-LV"/>
              </w:rPr>
              <w:t xml:space="preserve"> </w:t>
            </w:r>
            <w:proofErr w:type="spellStart"/>
            <w:r>
              <w:rPr>
                <w:i/>
                <w:sz w:val="22"/>
                <w:lang w:val="lv-LV" w:eastAsia="lv-LV"/>
              </w:rPr>
              <w:t>swap</w:t>
            </w:r>
            <w:proofErr w:type="spellEnd"/>
            <w:r>
              <w:rPr>
                <w:sz w:val="22"/>
                <w:lang w:val="lv-LV" w:eastAsia="lv-LV"/>
              </w:rPr>
              <w:t>)</w:t>
            </w:r>
          </w:p>
        </w:tc>
      </w:tr>
      <w:tr w:rsidR="005936B6" w:rsidRPr="009C7AAC" w:rsidTr="000E20FD">
        <w:trPr>
          <w:cantSplit/>
          <w:tblCellSpacing w:w="11" w:type="dxa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B6" w:rsidRDefault="005936B6" w:rsidP="000E20FD">
            <w:pPr>
              <w:jc w:val="center"/>
              <w:rPr>
                <w:sz w:val="22"/>
                <w:lang w:val="lv-LV" w:eastAsia="lv-LV"/>
              </w:rPr>
            </w:pP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B6" w:rsidRDefault="005936B6" w:rsidP="000E20FD">
            <w:pPr>
              <w:jc w:val="both"/>
              <w:rPr>
                <w:sz w:val="22"/>
                <w:lang w:val="lv-LV" w:eastAsia="lv-LV"/>
              </w:rPr>
            </w:pPr>
          </w:p>
        </w:tc>
      </w:tr>
      <w:tr w:rsidR="005936B6" w:rsidRPr="002135E9" w:rsidTr="000E20FD">
        <w:trPr>
          <w:cantSplit/>
          <w:tblCellSpacing w:w="11" w:type="dxa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B6" w:rsidRDefault="005936B6" w:rsidP="000E20FD">
            <w:pPr>
              <w:jc w:val="center"/>
              <w:rPr>
                <w:sz w:val="22"/>
                <w:lang w:val="lv-LV" w:eastAsia="lv-LV"/>
              </w:rPr>
            </w:pPr>
            <w:bookmarkStart w:id="7" w:name="_Hlk531768616"/>
            <w:r>
              <w:rPr>
                <w:sz w:val="22"/>
                <w:lang w:val="lv-LV" w:eastAsia="lv-LV"/>
              </w:rPr>
              <w:t>Servera formas izpildījums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B6" w:rsidRDefault="005936B6" w:rsidP="000E20FD">
            <w:pPr>
              <w:jc w:val="both"/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19” statnē montējams. Aprīkojums montēšanai Pasūtītāja statnē, t.sk. kabeļu vadotne “</w:t>
            </w:r>
            <w:proofErr w:type="spellStart"/>
            <w:r>
              <w:rPr>
                <w:sz w:val="22"/>
                <w:lang w:val="lv-LV" w:eastAsia="lv-LV"/>
              </w:rPr>
              <w:t>cable</w:t>
            </w:r>
            <w:proofErr w:type="spellEnd"/>
            <w:r>
              <w:rPr>
                <w:sz w:val="22"/>
                <w:lang w:val="lv-LV" w:eastAsia="lv-LV"/>
              </w:rPr>
              <w:t xml:space="preserve"> </w:t>
            </w:r>
            <w:proofErr w:type="spellStart"/>
            <w:r>
              <w:rPr>
                <w:sz w:val="22"/>
                <w:lang w:val="lv-LV" w:eastAsia="lv-LV"/>
              </w:rPr>
              <w:t>management</w:t>
            </w:r>
            <w:proofErr w:type="spellEnd"/>
            <w:r>
              <w:rPr>
                <w:sz w:val="22"/>
                <w:lang w:val="lv-LV" w:eastAsia="lv-LV"/>
              </w:rPr>
              <w:t xml:space="preserve"> </w:t>
            </w:r>
            <w:proofErr w:type="spellStart"/>
            <w:r>
              <w:rPr>
                <w:sz w:val="22"/>
                <w:lang w:val="lv-LV" w:eastAsia="lv-LV"/>
              </w:rPr>
              <w:t>arm</w:t>
            </w:r>
            <w:proofErr w:type="spellEnd"/>
            <w:r>
              <w:rPr>
                <w:sz w:val="22"/>
                <w:lang w:val="lv-LV" w:eastAsia="lv-LV"/>
              </w:rPr>
              <w:t>”, iekļauts komplektācijā.</w:t>
            </w:r>
          </w:p>
        </w:tc>
      </w:tr>
      <w:tr w:rsidR="005936B6" w:rsidRPr="002135E9" w:rsidTr="000E20FD">
        <w:trPr>
          <w:cantSplit/>
          <w:tblCellSpacing w:w="11" w:type="dxa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B6" w:rsidRDefault="005936B6" w:rsidP="000E20FD">
            <w:pPr>
              <w:jc w:val="center"/>
              <w:rPr>
                <w:sz w:val="22"/>
                <w:lang w:val="lv-LV" w:eastAsia="lv-LV"/>
              </w:rPr>
            </w:pP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B6" w:rsidRDefault="005936B6" w:rsidP="000E20FD">
            <w:pPr>
              <w:jc w:val="both"/>
              <w:rPr>
                <w:sz w:val="22"/>
                <w:lang w:val="lv-LV" w:eastAsia="lv-LV"/>
              </w:rPr>
            </w:pPr>
          </w:p>
        </w:tc>
      </w:tr>
      <w:tr w:rsidR="005936B6" w:rsidTr="000E20FD">
        <w:trPr>
          <w:cantSplit/>
          <w:tblCellSpacing w:w="11" w:type="dxa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B6" w:rsidRDefault="005936B6" w:rsidP="000E20FD">
            <w:pPr>
              <w:jc w:val="center"/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USB porti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B6" w:rsidRDefault="005936B6" w:rsidP="000E20FD">
            <w:pPr>
              <w:jc w:val="both"/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 xml:space="preserve">Vismaz viens USB 2.0 ports uz servera priekšējā paneļa, </w:t>
            </w:r>
          </w:p>
          <w:p w:rsidR="005936B6" w:rsidRDefault="005936B6" w:rsidP="000E20FD">
            <w:pPr>
              <w:jc w:val="both"/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vismaz viens USB 2.0 ports servera iekšpusē.</w:t>
            </w:r>
          </w:p>
        </w:tc>
      </w:tr>
      <w:tr w:rsidR="005936B6" w:rsidRPr="009C7AAC" w:rsidTr="000E20FD">
        <w:trPr>
          <w:cantSplit/>
          <w:tblCellSpacing w:w="11" w:type="dxa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B6" w:rsidRDefault="005936B6" w:rsidP="000E20FD">
            <w:pPr>
              <w:jc w:val="center"/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Vienlaicīgi lietotāji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B6" w:rsidRDefault="005936B6" w:rsidP="000E20FD">
            <w:pPr>
              <w:jc w:val="both"/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 xml:space="preserve">Serverim jānodrošina </w:t>
            </w:r>
            <w:r w:rsidRPr="00C0554A">
              <w:rPr>
                <w:b/>
                <w:sz w:val="22"/>
                <w:lang w:val="lv-LV" w:eastAsia="lv-LV"/>
              </w:rPr>
              <w:t>500</w:t>
            </w:r>
            <w:r>
              <w:rPr>
                <w:sz w:val="22"/>
                <w:lang w:val="lv-LV" w:eastAsia="lv-LV"/>
              </w:rPr>
              <w:t xml:space="preserve"> vienlaicīgu lietotāju darbība, ja tas darbojas primārā servera lomā.</w:t>
            </w:r>
          </w:p>
        </w:tc>
      </w:tr>
      <w:tr w:rsidR="005936B6" w:rsidRPr="002135E9" w:rsidTr="000E20FD">
        <w:trPr>
          <w:cantSplit/>
          <w:tblCellSpacing w:w="11" w:type="dxa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B6" w:rsidRPr="00B961F5" w:rsidRDefault="005936B6" w:rsidP="000E20FD">
            <w:pPr>
              <w:jc w:val="center"/>
              <w:rPr>
                <w:sz w:val="22"/>
                <w:lang w:val="lv-LV" w:eastAsia="lv-LV"/>
              </w:rPr>
            </w:pPr>
            <w:r>
              <w:rPr>
                <w:b/>
                <w:sz w:val="22"/>
                <w:lang w:val="lv-LV" w:eastAsia="lv-LV"/>
              </w:rPr>
              <w:t>D</w:t>
            </w:r>
            <w:r w:rsidRPr="002A2B9C">
              <w:rPr>
                <w:b/>
                <w:sz w:val="22"/>
                <w:lang w:val="lv-LV" w:eastAsia="lv-LV"/>
              </w:rPr>
              <w:t>isku apakšsist</w:t>
            </w:r>
            <w:r>
              <w:rPr>
                <w:b/>
                <w:sz w:val="22"/>
                <w:lang w:val="lv-LV" w:eastAsia="lv-LV"/>
              </w:rPr>
              <w:t>ēma</w:t>
            </w:r>
            <w:r w:rsidRPr="00B961F5">
              <w:rPr>
                <w:b/>
                <w:sz w:val="22"/>
                <w:lang w:eastAsia="lv-LV"/>
              </w:rPr>
              <w:t xml:space="preserve"> 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B6" w:rsidRPr="008D0574" w:rsidRDefault="005936B6" w:rsidP="000E20FD">
            <w:pPr>
              <w:rPr>
                <w:rFonts w:eastAsiaTheme="minorHAnsi"/>
                <w:sz w:val="22"/>
                <w:lang w:val="lv-LV"/>
              </w:rPr>
            </w:pPr>
            <w:r w:rsidRPr="008D0574">
              <w:rPr>
                <w:lang w:val="lv-LV"/>
              </w:rPr>
              <w:t xml:space="preserve">Disku apakšsistēma.        </w:t>
            </w:r>
          </w:p>
          <w:p w:rsidR="005936B6" w:rsidRPr="008D0574" w:rsidRDefault="005936B6" w:rsidP="000E20FD">
            <w:pPr>
              <w:rPr>
                <w:lang w:val="lv-LV"/>
              </w:rPr>
            </w:pPr>
            <w:r w:rsidRPr="008D0574">
              <w:rPr>
                <w:lang w:val="lv-LV"/>
              </w:rPr>
              <w:t xml:space="preserve">Papildus datu glabāšanas apgabals kas izveidots izmantojot atsevišķas aparatūras komponentes (RAID kontrolieri un diskus)  un paredzēts </w:t>
            </w:r>
            <w:proofErr w:type="spellStart"/>
            <w:r w:rsidRPr="008D0574">
              <w:rPr>
                <w:lang w:val="lv-LV"/>
              </w:rPr>
              <w:t>neprodukcijas</w:t>
            </w:r>
            <w:proofErr w:type="spellEnd"/>
            <w:r w:rsidRPr="008D0574">
              <w:rPr>
                <w:lang w:val="lv-LV"/>
              </w:rPr>
              <w:t xml:space="preserve"> SAP HANA datubāžu vi</w:t>
            </w:r>
            <w:r>
              <w:rPr>
                <w:lang w:val="lv-LV"/>
              </w:rPr>
              <w:t>des</w:t>
            </w:r>
            <w:r w:rsidRPr="008D0574">
              <w:rPr>
                <w:lang w:val="lv-LV"/>
              </w:rPr>
              <w:t xml:space="preserve"> darbināšanai. Integrēta kopā ar serveri. Konfigurācija saskaņā ar iekārtas ražotajā rekomendācijām, bet vismaz 13 (trīspadsmit) 1.8TB </w:t>
            </w:r>
            <w:proofErr w:type="spellStart"/>
            <w:r w:rsidRPr="008D0574">
              <w:rPr>
                <w:lang w:val="lv-LV"/>
              </w:rPr>
              <w:t>1.8TB</w:t>
            </w:r>
            <w:proofErr w:type="spellEnd"/>
            <w:r w:rsidRPr="008D0574">
              <w:rPr>
                <w:lang w:val="lv-LV"/>
              </w:rPr>
              <w:t xml:space="preserve"> SAS 12G Enterprise 10K.</w:t>
            </w:r>
          </w:p>
          <w:p w:rsidR="005936B6" w:rsidRDefault="005936B6" w:rsidP="000E20FD">
            <w:pPr>
              <w:jc w:val="both"/>
              <w:rPr>
                <w:sz w:val="22"/>
                <w:lang w:val="lv-LV" w:eastAsia="lv-LV"/>
              </w:rPr>
            </w:pPr>
          </w:p>
        </w:tc>
      </w:tr>
      <w:bookmarkEnd w:id="7"/>
      <w:tr w:rsidR="005936B6" w:rsidRPr="002135E9" w:rsidTr="000E20FD">
        <w:trPr>
          <w:cantSplit/>
          <w:tblCellSpacing w:w="11" w:type="dxa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B6" w:rsidRDefault="005936B6" w:rsidP="000E20FD">
            <w:pPr>
              <w:jc w:val="center"/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Disku masīva formas izpildījums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B6" w:rsidRDefault="005936B6" w:rsidP="000E20FD">
            <w:pPr>
              <w:jc w:val="both"/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19” statnē montējams. Aprīkojums montēšanai Pasūtītāja statnē, t.sk. kabeļu vadotne “</w:t>
            </w:r>
            <w:proofErr w:type="spellStart"/>
            <w:r>
              <w:rPr>
                <w:sz w:val="22"/>
                <w:lang w:val="lv-LV" w:eastAsia="lv-LV"/>
              </w:rPr>
              <w:t>cable</w:t>
            </w:r>
            <w:proofErr w:type="spellEnd"/>
            <w:r>
              <w:rPr>
                <w:sz w:val="22"/>
                <w:lang w:val="lv-LV" w:eastAsia="lv-LV"/>
              </w:rPr>
              <w:t xml:space="preserve"> </w:t>
            </w:r>
            <w:proofErr w:type="spellStart"/>
            <w:r>
              <w:rPr>
                <w:sz w:val="22"/>
                <w:lang w:val="lv-LV" w:eastAsia="lv-LV"/>
              </w:rPr>
              <w:t>management</w:t>
            </w:r>
            <w:proofErr w:type="spellEnd"/>
            <w:r>
              <w:rPr>
                <w:sz w:val="22"/>
                <w:lang w:val="lv-LV" w:eastAsia="lv-LV"/>
              </w:rPr>
              <w:t xml:space="preserve"> </w:t>
            </w:r>
            <w:proofErr w:type="spellStart"/>
            <w:r>
              <w:rPr>
                <w:sz w:val="22"/>
                <w:lang w:val="lv-LV" w:eastAsia="lv-LV"/>
              </w:rPr>
              <w:t>arm</w:t>
            </w:r>
            <w:proofErr w:type="spellEnd"/>
            <w:r>
              <w:rPr>
                <w:sz w:val="22"/>
                <w:lang w:val="lv-LV" w:eastAsia="lv-LV"/>
              </w:rPr>
              <w:t>”, iekļauts komplektācijā.</w:t>
            </w:r>
          </w:p>
        </w:tc>
      </w:tr>
      <w:tr w:rsidR="005936B6" w:rsidRPr="00B20254" w:rsidTr="000E20FD">
        <w:trPr>
          <w:cantSplit/>
          <w:tblCellSpacing w:w="11" w:type="dxa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B6" w:rsidRPr="00B20254" w:rsidRDefault="005936B6" w:rsidP="000E20FD">
            <w:pPr>
              <w:jc w:val="center"/>
              <w:rPr>
                <w:sz w:val="22"/>
                <w:lang w:val="lv-LV" w:eastAsia="lv-LV"/>
              </w:rPr>
            </w:pPr>
            <w:r>
              <w:rPr>
                <w:b/>
                <w:sz w:val="22"/>
                <w:lang w:val="lv-LV" w:eastAsia="lv-LV"/>
              </w:rPr>
              <w:t xml:space="preserve">Serveris 2 </w:t>
            </w:r>
            <w:r w:rsidRPr="00B20254">
              <w:rPr>
                <w:b/>
                <w:sz w:val="22"/>
                <w:lang w:val="lv-LV" w:eastAsia="lv-LV"/>
              </w:rPr>
              <w:t xml:space="preserve">Iekārta </w:t>
            </w:r>
            <w:r>
              <w:rPr>
                <w:b/>
                <w:sz w:val="22"/>
                <w:lang w:val="lv-LV" w:eastAsia="lv-LV"/>
              </w:rPr>
              <w:t>(</w:t>
            </w:r>
            <w:proofErr w:type="spellStart"/>
            <w:r w:rsidRPr="00B20254">
              <w:rPr>
                <w:b/>
                <w:sz w:val="22"/>
                <w:lang w:val="lv-LV" w:eastAsia="lv-LV"/>
              </w:rPr>
              <w:t>Appliance</w:t>
            </w:r>
            <w:proofErr w:type="spellEnd"/>
            <w:r w:rsidRPr="00B20254">
              <w:rPr>
                <w:b/>
                <w:sz w:val="22"/>
                <w:lang w:val="lv-LV" w:eastAsia="lv-LV"/>
              </w:rPr>
              <w:t xml:space="preserve"> </w:t>
            </w:r>
            <w:r>
              <w:rPr>
                <w:b/>
                <w:sz w:val="22"/>
                <w:lang w:val="lv-LV" w:eastAsia="lv-LV"/>
              </w:rPr>
              <w:t>)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B6" w:rsidRPr="00B20254" w:rsidRDefault="005936B6" w:rsidP="000E20FD">
            <w:pPr>
              <w:jc w:val="both"/>
              <w:rPr>
                <w:lang w:val="lv-LV"/>
              </w:rPr>
            </w:pPr>
            <w:r w:rsidRPr="00B20254">
              <w:rPr>
                <w:lang w:val="lv-LV"/>
              </w:rPr>
              <w:t xml:space="preserve">Iekārtai jābūt aktīvai “SAP HANA </w:t>
            </w:r>
            <w:proofErr w:type="spellStart"/>
            <w:r w:rsidRPr="00B20254">
              <w:rPr>
                <w:lang w:val="lv-LV"/>
              </w:rPr>
              <w:t>Certified</w:t>
            </w:r>
            <w:proofErr w:type="spellEnd"/>
            <w:r w:rsidRPr="00B20254">
              <w:rPr>
                <w:lang w:val="lv-LV"/>
              </w:rPr>
              <w:t xml:space="preserve"> </w:t>
            </w:r>
            <w:proofErr w:type="spellStart"/>
            <w:r w:rsidRPr="00B20254">
              <w:rPr>
                <w:lang w:val="lv-LV"/>
              </w:rPr>
              <w:t>Appliance</w:t>
            </w:r>
            <w:proofErr w:type="spellEnd"/>
            <w:r w:rsidRPr="00B20254">
              <w:rPr>
                <w:lang w:val="lv-LV"/>
              </w:rPr>
              <w:t xml:space="preserve">”  sertifikācijai kas izmanto RHEL 7.5 </w:t>
            </w:r>
            <w:proofErr w:type="spellStart"/>
            <w:r w:rsidRPr="00B20254">
              <w:rPr>
                <w:lang w:val="lv-LV"/>
              </w:rPr>
              <w:t>for</w:t>
            </w:r>
            <w:proofErr w:type="spellEnd"/>
            <w:r w:rsidRPr="00B20254">
              <w:rPr>
                <w:lang w:val="lv-LV"/>
              </w:rPr>
              <w:t xml:space="preserve"> SAP Solutions operētājsistēmu.</w:t>
            </w:r>
          </w:p>
          <w:p w:rsidR="005936B6" w:rsidRPr="000E0E44" w:rsidRDefault="005936B6" w:rsidP="000E20FD">
            <w:pPr>
              <w:rPr>
                <w:color w:val="333333"/>
                <w:sz w:val="22"/>
                <w:shd w:val="clear" w:color="auto" w:fill="FFFFFF"/>
                <w:lang w:val="lt-LT"/>
              </w:rPr>
            </w:pPr>
            <w:r w:rsidRPr="000E0E44">
              <w:rPr>
                <w:sz w:val="22"/>
                <w:lang w:val="lv-LV"/>
              </w:rPr>
              <w:t xml:space="preserve">Sertifikācijai jābūt pārbaudāmai vietnē </w:t>
            </w:r>
            <w:r w:rsidRPr="000E0E44">
              <w:rPr>
                <w:sz w:val="22"/>
                <w:lang w:val="lt-LT"/>
              </w:rPr>
              <w:fldChar w:fldCharType="begin"/>
            </w:r>
            <w:r w:rsidRPr="000E0E44">
              <w:rPr>
                <w:sz w:val="22"/>
                <w:lang w:val="lt-LT"/>
              </w:rPr>
              <w:instrText xml:space="preserve"> HYPERLINK "https://www.sap.com/dmc/exp/2014-09-02-hana-hardware/enEN/appliances.html" </w:instrText>
            </w:r>
            <w:r w:rsidRPr="000E0E44">
              <w:rPr>
                <w:sz w:val="22"/>
                <w:lang w:val="lt-LT"/>
              </w:rPr>
              <w:fldChar w:fldCharType="separate"/>
            </w:r>
            <w:r w:rsidRPr="000E0E44">
              <w:rPr>
                <w:color w:val="0563C1"/>
                <w:sz w:val="22"/>
                <w:u w:val="single"/>
                <w:lang w:val="lv-LV"/>
              </w:rPr>
              <w:t>https://www.sap.com/dmc/exp/2014-09-02-</w:t>
            </w:r>
            <w:r w:rsidRPr="000E0E44">
              <w:rPr>
                <w:sz w:val="22"/>
                <w:lang w:val="lv-LV"/>
              </w:rPr>
              <w:t xml:space="preserve"> Iekārtas tipam jābūt “</w:t>
            </w:r>
            <w:r w:rsidRPr="000E0E44">
              <w:rPr>
                <w:color w:val="333333"/>
                <w:sz w:val="22"/>
                <w:shd w:val="clear" w:color="auto" w:fill="FFFFFF"/>
                <w:lang w:val="lt-LT"/>
              </w:rPr>
              <w:t>Scale-up: BWoH/BW4H/DM/SoH/S4H“</w:t>
            </w:r>
          </w:p>
          <w:p w:rsidR="005936B6" w:rsidRPr="00760A44" w:rsidRDefault="005936B6" w:rsidP="000E20FD">
            <w:pPr>
              <w:spacing w:after="160" w:line="312" w:lineRule="auto"/>
              <w:rPr>
                <w:sz w:val="21"/>
                <w:szCs w:val="21"/>
                <w:lang w:val="lv-LV"/>
              </w:rPr>
            </w:pPr>
            <w:r w:rsidRPr="000E0E44">
              <w:rPr>
                <w:color w:val="0563C1"/>
                <w:sz w:val="22"/>
                <w:u w:val="single"/>
                <w:lang w:val="lv-LV"/>
              </w:rPr>
              <w:t xml:space="preserve"> hana-</w:t>
            </w:r>
            <w:proofErr w:type="spellStart"/>
            <w:r w:rsidRPr="000E0E44">
              <w:rPr>
                <w:color w:val="0563C1"/>
                <w:sz w:val="22"/>
                <w:u w:val="single"/>
                <w:lang w:val="lv-LV"/>
              </w:rPr>
              <w:t>hardware</w:t>
            </w:r>
            <w:proofErr w:type="spellEnd"/>
            <w:r w:rsidRPr="000E0E44">
              <w:rPr>
                <w:color w:val="0563C1"/>
                <w:sz w:val="22"/>
                <w:u w:val="single"/>
                <w:lang w:val="lv-LV"/>
              </w:rPr>
              <w:t>/</w:t>
            </w:r>
            <w:proofErr w:type="spellStart"/>
            <w:r w:rsidRPr="000E0E44">
              <w:rPr>
                <w:color w:val="0563C1"/>
                <w:sz w:val="22"/>
                <w:u w:val="single"/>
                <w:lang w:val="lv-LV"/>
              </w:rPr>
              <w:t>enEN</w:t>
            </w:r>
            <w:proofErr w:type="spellEnd"/>
            <w:r w:rsidRPr="000E0E44">
              <w:rPr>
                <w:color w:val="0563C1"/>
                <w:sz w:val="22"/>
                <w:u w:val="single"/>
                <w:lang w:val="lv-LV"/>
              </w:rPr>
              <w:t>/appliances.html</w:t>
            </w:r>
            <w:r w:rsidRPr="000E0E44">
              <w:rPr>
                <w:sz w:val="22"/>
                <w:lang w:val="lt-LT"/>
              </w:rPr>
              <w:fldChar w:fldCharType="end"/>
            </w:r>
          </w:p>
          <w:p w:rsidR="005936B6" w:rsidRPr="00B20254" w:rsidRDefault="005936B6" w:rsidP="000E20FD">
            <w:pPr>
              <w:jc w:val="both"/>
              <w:rPr>
                <w:sz w:val="22"/>
                <w:lang w:val="lv-LV" w:eastAsia="lv-LV"/>
              </w:rPr>
            </w:pPr>
          </w:p>
        </w:tc>
      </w:tr>
      <w:tr w:rsidR="005936B6" w:rsidRPr="00B20254" w:rsidTr="000E20FD">
        <w:trPr>
          <w:cantSplit/>
          <w:tblCellSpacing w:w="11" w:type="dxa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B6" w:rsidRPr="00B20254" w:rsidRDefault="005936B6" w:rsidP="000E20FD">
            <w:pPr>
              <w:jc w:val="center"/>
              <w:rPr>
                <w:b/>
                <w:sz w:val="22"/>
                <w:lang w:val="lv-LV" w:eastAsia="lv-LV"/>
              </w:rPr>
            </w:pPr>
            <w:r w:rsidRPr="00B20254">
              <w:rPr>
                <w:lang w:val="lv-LV"/>
              </w:rPr>
              <w:t>Iekārtas rūpnīcas integrācija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B6" w:rsidRPr="000E0E44" w:rsidRDefault="005936B6" w:rsidP="000E20FD">
            <w:pPr>
              <w:spacing w:after="160" w:line="312" w:lineRule="auto"/>
              <w:rPr>
                <w:sz w:val="22"/>
                <w:lang w:val="lv-LV"/>
              </w:rPr>
            </w:pPr>
            <w:r w:rsidRPr="000E0E44">
              <w:rPr>
                <w:sz w:val="22"/>
                <w:lang w:val="lv-LV"/>
              </w:rPr>
              <w:t>Iekārtas ražotajam jānodrošina pilna iekārtas rūpnīcas integrācija:</w:t>
            </w:r>
          </w:p>
          <w:p w:rsidR="005936B6" w:rsidRPr="000E0E44" w:rsidRDefault="005936B6" w:rsidP="005936B6">
            <w:pPr>
              <w:numPr>
                <w:ilvl w:val="0"/>
                <w:numId w:val="2"/>
              </w:numPr>
              <w:spacing w:after="160" w:line="312" w:lineRule="auto"/>
              <w:contextualSpacing/>
              <w:rPr>
                <w:sz w:val="22"/>
                <w:lang w:val="lv-LV"/>
              </w:rPr>
            </w:pPr>
            <w:r w:rsidRPr="000E0E44">
              <w:rPr>
                <w:sz w:val="22"/>
                <w:lang w:val="lv-LV"/>
              </w:rPr>
              <w:t>Aparatūras komponentes</w:t>
            </w:r>
          </w:p>
          <w:p w:rsidR="005936B6" w:rsidRPr="000E0E44" w:rsidRDefault="005936B6" w:rsidP="005936B6">
            <w:pPr>
              <w:numPr>
                <w:ilvl w:val="0"/>
                <w:numId w:val="2"/>
              </w:numPr>
              <w:spacing w:after="160" w:line="312" w:lineRule="auto"/>
              <w:contextualSpacing/>
              <w:rPr>
                <w:sz w:val="22"/>
                <w:lang w:val="lv-LV"/>
              </w:rPr>
            </w:pPr>
            <w:r w:rsidRPr="000E0E44">
              <w:rPr>
                <w:sz w:val="22"/>
                <w:lang w:val="lv-LV"/>
              </w:rPr>
              <w:t>Operētājsistēmas un SAP programatūras instalācijā</w:t>
            </w:r>
          </w:p>
          <w:p w:rsidR="005936B6" w:rsidRPr="000E0E44" w:rsidRDefault="005936B6" w:rsidP="005936B6">
            <w:pPr>
              <w:numPr>
                <w:ilvl w:val="0"/>
                <w:numId w:val="2"/>
              </w:numPr>
              <w:spacing w:after="160" w:line="312" w:lineRule="auto"/>
              <w:contextualSpacing/>
              <w:rPr>
                <w:sz w:val="22"/>
                <w:lang w:val="lv-LV"/>
              </w:rPr>
            </w:pPr>
            <w:r w:rsidRPr="000E0E44">
              <w:rPr>
                <w:sz w:val="22"/>
                <w:lang w:val="lv-LV"/>
              </w:rPr>
              <w:t>Aparatūras un programmatūras parametru konfigurēšana (datu sējumu konfigurācijā, tikla parametri, sistēmas administratoru konti, SAP instances un to parametri utt.)</w:t>
            </w:r>
          </w:p>
          <w:p w:rsidR="005936B6" w:rsidRPr="000E0E44" w:rsidRDefault="005936B6" w:rsidP="005936B6">
            <w:pPr>
              <w:numPr>
                <w:ilvl w:val="0"/>
                <w:numId w:val="2"/>
              </w:numPr>
              <w:spacing w:after="160" w:line="312" w:lineRule="auto"/>
              <w:contextualSpacing/>
              <w:rPr>
                <w:sz w:val="22"/>
                <w:lang w:val="lv-LV"/>
              </w:rPr>
            </w:pPr>
            <w:r w:rsidRPr="000E0E44">
              <w:rPr>
                <w:sz w:val="22"/>
                <w:lang w:val="lv-LV"/>
              </w:rPr>
              <w:t>Pilnas sistēmas testēšana</w:t>
            </w:r>
          </w:p>
          <w:p w:rsidR="005936B6" w:rsidRPr="00B20254" w:rsidRDefault="005936B6" w:rsidP="000E20FD">
            <w:pPr>
              <w:jc w:val="both"/>
              <w:rPr>
                <w:lang w:val="lv-LV"/>
              </w:rPr>
            </w:pPr>
          </w:p>
        </w:tc>
      </w:tr>
      <w:tr w:rsidR="005936B6" w:rsidRPr="009C7AAC" w:rsidTr="000E20FD">
        <w:trPr>
          <w:cantSplit/>
          <w:tblCellSpacing w:w="11" w:type="dxa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B6" w:rsidRPr="00B20254" w:rsidRDefault="005936B6" w:rsidP="000E20F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lastRenderedPageBreak/>
              <w:t>Integrācija pasūtītā</w:t>
            </w:r>
            <w:r w:rsidRPr="00B20254">
              <w:rPr>
                <w:lang w:val="lv-LV"/>
              </w:rPr>
              <w:t>j</w:t>
            </w:r>
            <w:r>
              <w:rPr>
                <w:lang w:val="lv-LV"/>
              </w:rPr>
              <w:t>a infrastruktūrā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B6" w:rsidRPr="00760A44" w:rsidRDefault="005936B6" w:rsidP="000E20FD">
            <w:pPr>
              <w:spacing w:after="160" w:line="312" w:lineRule="auto"/>
              <w:rPr>
                <w:sz w:val="21"/>
                <w:szCs w:val="21"/>
                <w:lang w:val="lv-LV"/>
              </w:rPr>
            </w:pPr>
            <w:r w:rsidRPr="00760A44">
              <w:rPr>
                <w:sz w:val="21"/>
                <w:szCs w:val="21"/>
                <w:lang w:val="lv-LV"/>
              </w:rPr>
              <w:t>Iekārtas ražotajam jānodrošina risinājuma integrācija pasūtīt</w:t>
            </w:r>
            <w:r>
              <w:rPr>
                <w:sz w:val="21"/>
                <w:szCs w:val="21"/>
                <w:lang w:val="lv-LV"/>
              </w:rPr>
              <w:t>ā</w:t>
            </w:r>
            <w:r w:rsidRPr="00760A44">
              <w:rPr>
                <w:sz w:val="21"/>
                <w:szCs w:val="21"/>
                <w:lang w:val="lv-LV"/>
              </w:rPr>
              <w:t>j</w:t>
            </w:r>
            <w:r>
              <w:rPr>
                <w:sz w:val="21"/>
                <w:szCs w:val="21"/>
                <w:lang w:val="lv-LV"/>
              </w:rPr>
              <w:t>a</w:t>
            </w:r>
            <w:r w:rsidRPr="00760A44">
              <w:rPr>
                <w:sz w:val="21"/>
                <w:szCs w:val="21"/>
                <w:lang w:val="lv-LV"/>
              </w:rPr>
              <w:t xml:space="preserve"> infrastruktūr</w:t>
            </w:r>
            <w:r>
              <w:rPr>
                <w:sz w:val="21"/>
                <w:szCs w:val="21"/>
                <w:lang w:val="lv-LV"/>
              </w:rPr>
              <w:t>ā</w:t>
            </w:r>
            <w:r w:rsidRPr="00760A44">
              <w:rPr>
                <w:sz w:val="21"/>
                <w:szCs w:val="21"/>
                <w:lang w:val="lv-LV"/>
              </w:rPr>
              <w:t xml:space="preserve"> un ieviešanā:</w:t>
            </w:r>
          </w:p>
          <w:p w:rsidR="005936B6" w:rsidRPr="00760A44" w:rsidRDefault="005936B6" w:rsidP="005936B6">
            <w:pPr>
              <w:numPr>
                <w:ilvl w:val="0"/>
                <w:numId w:val="3"/>
              </w:numPr>
              <w:spacing w:after="160" w:line="312" w:lineRule="auto"/>
              <w:contextualSpacing/>
              <w:rPr>
                <w:sz w:val="21"/>
                <w:szCs w:val="21"/>
                <w:lang w:val="lv-LV"/>
              </w:rPr>
            </w:pPr>
            <w:r w:rsidRPr="00760A44">
              <w:rPr>
                <w:sz w:val="21"/>
                <w:szCs w:val="21"/>
                <w:lang w:val="lv-LV"/>
              </w:rPr>
              <w:t>Integrācija datu centrā tikla infrastruktūrā</w:t>
            </w:r>
          </w:p>
          <w:p w:rsidR="005936B6" w:rsidRPr="00760A44" w:rsidRDefault="005936B6" w:rsidP="005936B6">
            <w:pPr>
              <w:numPr>
                <w:ilvl w:val="0"/>
                <w:numId w:val="3"/>
              </w:numPr>
              <w:spacing w:after="160" w:line="312" w:lineRule="auto"/>
              <w:contextualSpacing/>
              <w:rPr>
                <w:sz w:val="21"/>
                <w:szCs w:val="21"/>
                <w:lang w:val="lv-LV"/>
              </w:rPr>
            </w:pPr>
            <w:r w:rsidRPr="00760A44">
              <w:rPr>
                <w:sz w:val="21"/>
                <w:szCs w:val="21"/>
                <w:lang w:val="lv-LV"/>
              </w:rPr>
              <w:t>SAP HANA parametru pārbaude (apertūras un tikla parametri, caurlaidspēja)</w:t>
            </w:r>
          </w:p>
          <w:p w:rsidR="005936B6" w:rsidRPr="00760A44" w:rsidRDefault="005936B6" w:rsidP="005936B6">
            <w:pPr>
              <w:numPr>
                <w:ilvl w:val="0"/>
                <w:numId w:val="3"/>
              </w:numPr>
              <w:spacing w:after="160" w:line="312" w:lineRule="auto"/>
              <w:contextualSpacing/>
              <w:rPr>
                <w:sz w:val="21"/>
                <w:szCs w:val="21"/>
                <w:lang w:val="lv-LV"/>
              </w:rPr>
            </w:pPr>
            <w:r w:rsidRPr="00760A44">
              <w:rPr>
                <w:sz w:val="21"/>
                <w:szCs w:val="21"/>
                <w:lang w:val="lv-LV"/>
              </w:rPr>
              <w:t>SAP HANA programatūras jauninājums līdz aktuālai “</w:t>
            </w:r>
            <w:proofErr w:type="spellStart"/>
            <w:r w:rsidRPr="00760A44">
              <w:rPr>
                <w:sz w:val="21"/>
                <w:szCs w:val="21"/>
                <w:lang w:val="lv-LV"/>
              </w:rPr>
              <w:t>general</w:t>
            </w:r>
            <w:proofErr w:type="spellEnd"/>
            <w:r w:rsidRPr="00760A44">
              <w:rPr>
                <w:sz w:val="21"/>
                <w:szCs w:val="21"/>
                <w:lang w:val="lv-LV"/>
              </w:rPr>
              <w:t xml:space="preserve"> </w:t>
            </w:r>
            <w:proofErr w:type="spellStart"/>
            <w:r w:rsidRPr="00760A44">
              <w:rPr>
                <w:sz w:val="21"/>
                <w:szCs w:val="21"/>
                <w:lang w:val="lv-LV"/>
              </w:rPr>
              <w:t>release</w:t>
            </w:r>
            <w:proofErr w:type="spellEnd"/>
            <w:r w:rsidRPr="00760A44">
              <w:rPr>
                <w:sz w:val="21"/>
                <w:szCs w:val="21"/>
                <w:lang w:val="lv-LV"/>
              </w:rPr>
              <w:t>” versijai</w:t>
            </w:r>
          </w:p>
          <w:p w:rsidR="005936B6" w:rsidRPr="00760A44" w:rsidRDefault="005936B6" w:rsidP="005936B6">
            <w:pPr>
              <w:numPr>
                <w:ilvl w:val="0"/>
                <w:numId w:val="3"/>
              </w:numPr>
              <w:spacing w:after="160" w:line="312" w:lineRule="auto"/>
              <w:contextualSpacing/>
              <w:rPr>
                <w:sz w:val="21"/>
                <w:szCs w:val="21"/>
                <w:lang w:val="lv-LV"/>
              </w:rPr>
            </w:pPr>
            <w:r w:rsidRPr="00760A44">
              <w:rPr>
                <w:sz w:val="21"/>
                <w:szCs w:val="21"/>
                <w:lang w:val="lv-LV"/>
              </w:rPr>
              <w:t xml:space="preserve">SAP HANA </w:t>
            </w:r>
            <w:proofErr w:type="spellStart"/>
            <w:r>
              <w:rPr>
                <w:sz w:val="21"/>
                <w:szCs w:val="21"/>
                <w:lang w:val="lv-LV"/>
              </w:rPr>
              <w:t>Studio</w:t>
            </w:r>
            <w:proofErr w:type="spellEnd"/>
            <w:r>
              <w:rPr>
                <w:sz w:val="21"/>
                <w:szCs w:val="21"/>
                <w:lang w:val="lv-LV"/>
              </w:rPr>
              <w:t xml:space="preserve"> instalācija uz pasūtītāja</w:t>
            </w:r>
            <w:r w:rsidRPr="00760A44">
              <w:rPr>
                <w:sz w:val="21"/>
                <w:szCs w:val="21"/>
                <w:lang w:val="lv-LV"/>
              </w:rPr>
              <w:t xml:space="preserve"> datora</w:t>
            </w:r>
          </w:p>
          <w:p w:rsidR="005936B6" w:rsidRPr="00760A44" w:rsidRDefault="005936B6" w:rsidP="005936B6">
            <w:pPr>
              <w:numPr>
                <w:ilvl w:val="0"/>
                <w:numId w:val="3"/>
              </w:numPr>
              <w:spacing w:after="160" w:line="312" w:lineRule="auto"/>
              <w:contextualSpacing/>
              <w:rPr>
                <w:sz w:val="21"/>
                <w:szCs w:val="21"/>
                <w:lang w:val="lv-LV"/>
              </w:rPr>
            </w:pPr>
            <w:r w:rsidRPr="00760A44">
              <w:rPr>
                <w:sz w:val="21"/>
                <w:szCs w:val="21"/>
                <w:lang w:val="lv-LV"/>
              </w:rPr>
              <w:t>Testa datu imports SAP HANA datubāzē un testa atskaites izveide</w:t>
            </w:r>
          </w:p>
          <w:p w:rsidR="005936B6" w:rsidRPr="008D0574" w:rsidRDefault="005936B6" w:rsidP="005936B6">
            <w:pPr>
              <w:numPr>
                <w:ilvl w:val="0"/>
                <w:numId w:val="3"/>
              </w:numPr>
              <w:spacing w:after="160" w:line="312" w:lineRule="auto"/>
              <w:contextualSpacing/>
              <w:rPr>
                <w:sz w:val="21"/>
                <w:szCs w:val="21"/>
                <w:lang w:val="lv-LV"/>
              </w:rPr>
            </w:pPr>
            <w:r w:rsidRPr="008D0574">
              <w:rPr>
                <w:sz w:val="21"/>
                <w:szCs w:val="21"/>
                <w:lang w:val="lv-LV"/>
              </w:rPr>
              <w:t xml:space="preserve">Konfigurācijas izveide diska apakšsistēmai, lai nodrošināt SAP HANA </w:t>
            </w:r>
            <w:proofErr w:type="spellStart"/>
            <w:r w:rsidRPr="008D0574">
              <w:rPr>
                <w:sz w:val="21"/>
                <w:szCs w:val="21"/>
                <w:lang w:val="lv-LV"/>
              </w:rPr>
              <w:t>Dual</w:t>
            </w:r>
            <w:proofErr w:type="spellEnd"/>
            <w:r w:rsidRPr="008D0574">
              <w:rPr>
                <w:sz w:val="21"/>
                <w:szCs w:val="21"/>
                <w:lang w:val="lv-LV"/>
              </w:rPr>
              <w:t xml:space="preserve"> </w:t>
            </w:r>
            <w:proofErr w:type="spellStart"/>
            <w:r w:rsidRPr="008D0574">
              <w:rPr>
                <w:sz w:val="21"/>
                <w:szCs w:val="21"/>
                <w:lang w:val="lv-LV"/>
              </w:rPr>
              <w:t>Purpose</w:t>
            </w:r>
            <w:proofErr w:type="spellEnd"/>
            <w:r w:rsidRPr="008D0574">
              <w:rPr>
                <w:sz w:val="21"/>
                <w:szCs w:val="21"/>
                <w:lang w:val="lv-LV"/>
              </w:rPr>
              <w:t xml:space="preserve"> darbības režīmu</w:t>
            </w:r>
          </w:p>
          <w:p w:rsidR="005936B6" w:rsidRPr="00760A44" w:rsidRDefault="005936B6" w:rsidP="005936B6">
            <w:pPr>
              <w:numPr>
                <w:ilvl w:val="0"/>
                <w:numId w:val="3"/>
              </w:numPr>
              <w:spacing w:after="160" w:line="312" w:lineRule="auto"/>
              <w:contextualSpacing/>
              <w:rPr>
                <w:sz w:val="21"/>
                <w:szCs w:val="21"/>
                <w:lang w:val="lv-LV"/>
              </w:rPr>
            </w:pPr>
            <w:r w:rsidRPr="00760A44">
              <w:rPr>
                <w:sz w:val="21"/>
                <w:szCs w:val="21"/>
                <w:lang w:val="lv-LV"/>
              </w:rPr>
              <w:t>SAP HANA replikācijas konfigurācijas izveide starp divām iekārtam, viena klienta vai aplikāciju servera konfigurēšanā savienojuma atjaunošanai</w:t>
            </w:r>
          </w:p>
          <w:p w:rsidR="005936B6" w:rsidRPr="00760A44" w:rsidRDefault="005936B6" w:rsidP="005936B6">
            <w:pPr>
              <w:numPr>
                <w:ilvl w:val="0"/>
                <w:numId w:val="3"/>
              </w:numPr>
              <w:spacing w:after="160" w:line="312" w:lineRule="auto"/>
              <w:contextualSpacing/>
              <w:rPr>
                <w:sz w:val="21"/>
                <w:szCs w:val="21"/>
                <w:lang w:val="lv-LV"/>
              </w:rPr>
            </w:pPr>
            <w:r w:rsidRPr="00760A44">
              <w:rPr>
                <w:sz w:val="21"/>
                <w:szCs w:val="21"/>
                <w:lang w:val="lv-LV"/>
              </w:rPr>
              <w:t>Replikācijas paslēgšanas testi  no primāras uz sekundāru iekārtu, no sekundāras uz primāru iekārtu</w:t>
            </w:r>
          </w:p>
          <w:p w:rsidR="005936B6" w:rsidRPr="00B20254" w:rsidRDefault="005936B6" w:rsidP="005936B6">
            <w:pPr>
              <w:pStyle w:val="ListParagraph"/>
              <w:numPr>
                <w:ilvl w:val="0"/>
                <w:numId w:val="3"/>
              </w:numPr>
              <w:spacing w:after="160" w:line="312" w:lineRule="auto"/>
              <w:rPr>
                <w:lang w:val="lv-LV"/>
              </w:rPr>
            </w:pPr>
            <w:r w:rsidRPr="00B20254">
              <w:rPr>
                <w:lang w:val="lv-LV"/>
              </w:rPr>
              <w:t>Pasūtītāja pārstāvju iepazīšana ar iekārtas konfigurāciju un SAP HANA darbības pamatiem (līdz 2 stundām)</w:t>
            </w:r>
          </w:p>
          <w:p w:rsidR="005936B6" w:rsidRDefault="005936B6" w:rsidP="005936B6">
            <w:pPr>
              <w:pStyle w:val="ListParagraph"/>
              <w:numPr>
                <w:ilvl w:val="0"/>
                <w:numId w:val="3"/>
              </w:numPr>
              <w:spacing w:after="160" w:line="312" w:lineRule="auto"/>
              <w:rPr>
                <w:lang w:val="lv-LV"/>
              </w:rPr>
            </w:pPr>
            <w:r w:rsidRPr="00B20254">
              <w:rPr>
                <w:lang w:val="lv-LV"/>
              </w:rPr>
              <w:t>Piegādātajam jāiekļauj ieviešanas pakalpojumu ražotāja produktu kodus un noradi uz publiski pieejamu detalizētu ieviešanas pakalpojumu aprakstiem (latviešu vai angļu valoda)</w:t>
            </w:r>
          </w:p>
          <w:p w:rsidR="005936B6" w:rsidRPr="00B20254" w:rsidRDefault="005936B6" w:rsidP="005936B6">
            <w:pPr>
              <w:pStyle w:val="ListParagraph"/>
              <w:numPr>
                <w:ilvl w:val="0"/>
                <w:numId w:val="3"/>
              </w:numPr>
              <w:spacing w:after="160" w:line="312" w:lineRule="auto"/>
              <w:rPr>
                <w:lang w:val="lv-LV"/>
              </w:rPr>
            </w:pPr>
            <w:r>
              <w:rPr>
                <w:lang w:val="lv-LV"/>
              </w:rPr>
              <w:t xml:space="preserve">Risinājumam jāatbalsta IBM </w:t>
            </w:r>
            <w:proofErr w:type="spellStart"/>
            <w:r w:rsidRPr="00E43474">
              <w:rPr>
                <w:sz w:val="22"/>
                <w:szCs w:val="22"/>
                <w:lang w:val="lv-LV"/>
              </w:rPr>
              <w:t>Spectrum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 w:rsidRPr="002639C4">
              <w:rPr>
                <w:rFonts w:eastAsia="Calibri"/>
                <w:szCs w:val="22"/>
                <w:lang w:val="lv-LV"/>
              </w:rPr>
              <w:t>Protect</w:t>
            </w:r>
            <w:proofErr w:type="spellEnd"/>
            <w:r w:rsidRPr="002639C4">
              <w:rPr>
                <w:rFonts w:eastAsia="Calibri"/>
                <w:szCs w:val="22"/>
                <w:lang w:val="lv-LV"/>
              </w:rPr>
              <w:t xml:space="preserve"> </w:t>
            </w:r>
            <w:proofErr w:type="spellStart"/>
            <w:r w:rsidRPr="002639C4">
              <w:rPr>
                <w:rFonts w:eastAsia="Calibri"/>
                <w:szCs w:val="22"/>
                <w:lang w:val="lv-LV"/>
              </w:rPr>
              <w:t>Suite</w:t>
            </w:r>
            <w:proofErr w:type="spellEnd"/>
            <w:r>
              <w:rPr>
                <w:lang w:val="lv-LV"/>
              </w:rPr>
              <w:t xml:space="preserve"> rezerves kopēšanas programmatūru.</w:t>
            </w:r>
          </w:p>
          <w:p w:rsidR="005936B6" w:rsidRPr="00B20254" w:rsidRDefault="005936B6" w:rsidP="000E20FD">
            <w:pPr>
              <w:spacing w:after="160" w:line="312" w:lineRule="auto"/>
              <w:rPr>
                <w:sz w:val="21"/>
                <w:szCs w:val="21"/>
                <w:lang w:val="lv-LV"/>
              </w:rPr>
            </w:pPr>
          </w:p>
        </w:tc>
      </w:tr>
      <w:tr w:rsidR="005936B6" w:rsidRPr="002135E9" w:rsidTr="000E20FD">
        <w:trPr>
          <w:cantSplit/>
          <w:tblCellSpacing w:w="11" w:type="dxa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B6" w:rsidRPr="00B20254" w:rsidRDefault="005936B6" w:rsidP="000E20FD">
            <w:pPr>
              <w:jc w:val="center"/>
              <w:rPr>
                <w:lang w:val="lv-LV"/>
              </w:rPr>
            </w:pPr>
            <w:r w:rsidRPr="00B20254">
              <w:rPr>
                <w:lang w:val="lv-LV"/>
              </w:rPr>
              <w:t>Tehniskais atbalsts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B6" w:rsidRPr="00B20254" w:rsidRDefault="005936B6" w:rsidP="000E20FD">
            <w:pPr>
              <w:spacing w:after="160" w:line="312" w:lineRule="auto"/>
              <w:rPr>
                <w:sz w:val="21"/>
                <w:szCs w:val="21"/>
                <w:lang w:val="lv-LV"/>
              </w:rPr>
            </w:pPr>
            <w:r w:rsidRPr="00B20254">
              <w:rPr>
                <w:sz w:val="21"/>
                <w:szCs w:val="21"/>
                <w:lang w:val="lv-LV"/>
              </w:rPr>
              <w:t>Ražotajam nodrošina iekārtu kompleksais tehniskais atbalsts:</w:t>
            </w:r>
          </w:p>
          <w:p w:rsidR="005936B6" w:rsidRPr="00B20254" w:rsidRDefault="005936B6" w:rsidP="005936B6">
            <w:pPr>
              <w:numPr>
                <w:ilvl w:val="0"/>
                <w:numId w:val="4"/>
              </w:numPr>
              <w:spacing w:after="160" w:line="312" w:lineRule="auto"/>
              <w:contextualSpacing/>
              <w:rPr>
                <w:sz w:val="21"/>
                <w:szCs w:val="21"/>
                <w:lang w:val="lv-LV"/>
              </w:rPr>
            </w:pPr>
            <w:r w:rsidRPr="00B20254">
              <w:rPr>
                <w:sz w:val="21"/>
                <w:szCs w:val="21"/>
                <w:lang w:val="lv-LV"/>
              </w:rPr>
              <w:t>Viens atbalsta kontakts pilnai iekārtas funkcionalitātei: aparatūrā, operētājsistēma un tieša komunikācija ar SAP tehniska atbalsta jautājumos (problēmu eskalācijas, utt</w:t>
            </w:r>
            <w:r>
              <w:rPr>
                <w:sz w:val="21"/>
                <w:szCs w:val="21"/>
                <w:lang w:val="lv-LV"/>
              </w:rPr>
              <w:t>.</w:t>
            </w:r>
            <w:r w:rsidRPr="00B20254">
              <w:rPr>
                <w:sz w:val="21"/>
                <w:szCs w:val="21"/>
                <w:lang w:val="lv-LV"/>
              </w:rPr>
              <w:t>)</w:t>
            </w:r>
          </w:p>
          <w:p w:rsidR="005936B6" w:rsidRPr="00B20254" w:rsidRDefault="005936B6" w:rsidP="005936B6">
            <w:pPr>
              <w:numPr>
                <w:ilvl w:val="0"/>
                <w:numId w:val="4"/>
              </w:numPr>
              <w:spacing w:after="160" w:line="312" w:lineRule="auto"/>
              <w:contextualSpacing/>
              <w:rPr>
                <w:sz w:val="21"/>
                <w:szCs w:val="21"/>
                <w:lang w:val="lv-LV"/>
              </w:rPr>
            </w:pPr>
            <w:r w:rsidRPr="00B20254">
              <w:rPr>
                <w:sz w:val="21"/>
                <w:szCs w:val="21"/>
                <w:lang w:val="lv-LV"/>
              </w:rPr>
              <w:t>Atbildībā par iekārtas SAP HANA savietojamību un tehnisko parametru atbilstību</w:t>
            </w:r>
          </w:p>
          <w:p w:rsidR="005936B6" w:rsidRPr="00B20254" w:rsidRDefault="005936B6" w:rsidP="005936B6">
            <w:pPr>
              <w:numPr>
                <w:ilvl w:val="0"/>
                <w:numId w:val="4"/>
              </w:numPr>
              <w:spacing w:after="160" w:line="312" w:lineRule="auto"/>
              <w:contextualSpacing/>
              <w:rPr>
                <w:sz w:val="21"/>
                <w:szCs w:val="21"/>
                <w:lang w:val="lv-LV"/>
              </w:rPr>
            </w:pPr>
            <w:r w:rsidRPr="00B20254">
              <w:rPr>
                <w:sz w:val="21"/>
                <w:szCs w:val="21"/>
                <w:lang w:val="lv-LV"/>
              </w:rPr>
              <w:t>Iespēja nodrošināt iekārtas pilnas darbspējas atjaunošanu, problēmu diagnosticēšanu un bojājumu analīzi</w:t>
            </w:r>
          </w:p>
          <w:p w:rsidR="005936B6" w:rsidRPr="00B20254" w:rsidRDefault="005936B6" w:rsidP="005936B6">
            <w:pPr>
              <w:numPr>
                <w:ilvl w:val="0"/>
                <w:numId w:val="4"/>
              </w:numPr>
              <w:spacing w:after="160" w:line="312" w:lineRule="auto"/>
              <w:contextualSpacing/>
              <w:rPr>
                <w:sz w:val="21"/>
                <w:szCs w:val="21"/>
                <w:lang w:val="lv-LV"/>
              </w:rPr>
            </w:pPr>
            <w:r w:rsidRPr="00B20254">
              <w:rPr>
                <w:sz w:val="21"/>
                <w:szCs w:val="21"/>
                <w:lang w:val="lv-LV"/>
              </w:rPr>
              <w:t>Jāpiedāvā iekārtas mašīnkoda un programmatūras jauninājumu komplektus ar savstarpējas savietojamības testēšanu</w:t>
            </w:r>
          </w:p>
          <w:p w:rsidR="005936B6" w:rsidRPr="00B20254" w:rsidRDefault="005936B6" w:rsidP="000E20FD">
            <w:pPr>
              <w:spacing w:after="160" w:line="312" w:lineRule="auto"/>
              <w:rPr>
                <w:sz w:val="21"/>
                <w:szCs w:val="21"/>
                <w:lang w:val="lv-LV"/>
              </w:rPr>
            </w:pPr>
          </w:p>
        </w:tc>
      </w:tr>
      <w:tr w:rsidR="005936B6" w:rsidRPr="002135E9" w:rsidTr="000E20FD">
        <w:trPr>
          <w:cantSplit/>
          <w:tblCellSpacing w:w="11" w:type="dxa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B6" w:rsidRPr="00B20254" w:rsidRDefault="005936B6" w:rsidP="000E20FD">
            <w:pPr>
              <w:jc w:val="center"/>
              <w:rPr>
                <w:sz w:val="22"/>
                <w:lang w:val="lv-LV" w:eastAsia="lv-LV"/>
              </w:rPr>
            </w:pP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B6" w:rsidRPr="00B20254" w:rsidRDefault="005936B6" w:rsidP="000E20FD">
            <w:pPr>
              <w:jc w:val="both"/>
              <w:rPr>
                <w:sz w:val="22"/>
                <w:lang w:val="lv-LV" w:eastAsia="lv-LV"/>
              </w:rPr>
            </w:pPr>
          </w:p>
        </w:tc>
      </w:tr>
      <w:tr w:rsidR="005936B6" w:rsidRPr="00B20254" w:rsidTr="000E20FD">
        <w:trPr>
          <w:cantSplit/>
          <w:tblCellSpacing w:w="11" w:type="dxa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B6" w:rsidRPr="00B20254" w:rsidRDefault="005936B6" w:rsidP="000E20FD">
            <w:pPr>
              <w:jc w:val="center"/>
              <w:rPr>
                <w:sz w:val="22"/>
                <w:lang w:val="lv-LV" w:eastAsia="lv-LV"/>
              </w:rPr>
            </w:pPr>
            <w:r w:rsidRPr="00B20254">
              <w:rPr>
                <w:sz w:val="22"/>
                <w:lang w:val="lv-LV" w:eastAsia="lv-LV"/>
              </w:rPr>
              <w:t>Serveru operētājsistēma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B6" w:rsidRPr="00B20254" w:rsidRDefault="005936B6" w:rsidP="000E20FD">
            <w:pPr>
              <w:jc w:val="both"/>
              <w:rPr>
                <w:sz w:val="22"/>
                <w:lang w:val="lv-LV" w:eastAsia="lv-LV"/>
              </w:rPr>
            </w:pPr>
            <w:r w:rsidRPr="00B20254">
              <w:rPr>
                <w:sz w:val="22"/>
                <w:lang w:val="lv-LV" w:eastAsia="lv-LV"/>
              </w:rPr>
              <w:t xml:space="preserve">Red </w:t>
            </w:r>
            <w:proofErr w:type="spellStart"/>
            <w:r w:rsidRPr="00B20254">
              <w:rPr>
                <w:sz w:val="22"/>
                <w:lang w:val="lv-LV" w:eastAsia="lv-LV"/>
              </w:rPr>
              <w:t>Hat</w:t>
            </w:r>
            <w:proofErr w:type="spellEnd"/>
            <w:r w:rsidRPr="00B20254">
              <w:rPr>
                <w:sz w:val="22"/>
                <w:lang w:val="lv-LV" w:eastAsia="lv-LV"/>
              </w:rPr>
              <w:t xml:space="preserve"> Enterprise </w:t>
            </w:r>
            <w:proofErr w:type="spellStart"/>
            <w:r w:rsidRPr="00B20254">
              <w:rPr>
                <w:sz w:val="22"/>
                <w:lang w:val="lv-LV" w:eastAsia="lv-LV"/>
              </w:rPr>
              <w:t>Linux</w:t>
            </w:r>
            <w:proofErr w:type="spellEnd"/>
            <w:r w:rsidRPr="00B20254">
              <w:rPr>
                <w:sz w:val="22"/>
                <w:lang w:val="lv-LV" w:eastAsia="lv-LV"/>
              </w:rPr>
              <w:t xml:space="preserve"> </w:t>
            </w:r>
            <w:proofErr w:type="spellStart"/>
            <w:r w:rsidRPr="00B20254">
              <w:rPr>
                <w:sz w:val="22"/>
                <w:lang w:val="lv-LV" w:eastAsia="lv-LV"/>
              </w:rPr>
              <w:t>for</w:t>
            </w:r>
            <w:proofErr w:type="spellEnd"/>
            <w:r w:rsidRPr="00B20254">
              <w:rPr>
                <w:sz w:val="22"/>
                <w:lang w:val="lv-LV" w:eastAsia="lv-LV"/>
              </w:rPr>
              <w:t xml:space="preserve"> SAP Solutions </w:t>
            </w:r>
            <w:proofErr w:type="spellStart"/>
            <w:r w:rsidRPr="00B20254">
              <w:rPr>
                <w:sz w:val="22"/>
                <w:lang w:val="lv-LV" w:eastAsia="lv-LV"/>
              </w:rPr>
              <w:t>for</w:t>
            </w:r>
            <w:proofErr w:type="spellEnd"/>
            <w:r w:rsidRPr="00B20254">
              <w:rPr>
                <w:sz w:val="22"/>
                <w:lang w:val="lv-LV" w:eastAsia="lv-LV"/>
              </w:rPr>
              <w:t xml:space="preserve"> </w:t>
            </w:r>
            <w:proofErr w:type="spellStart"/>
            <w:r w:rsidRPr="00B20254">
              <w:rPr>
                <w:sz w:val="22"/>
                <w:lang w:val="lv-LV" w:eastAsia="lv-LV"/>
              </w:rPr>
              <w:t>Physical</w:t>
            </w:r>
            <w:proofErr w:type="spellEnd"/>
            <w:r w:rsidRPr="00B20254">
              <w:rPr>
                <w:sz w:val="22"/>
                <w:lang w:val="lv-LV" w:eastAsia="lv-LV"/>
              </w:rPr>
              <w:t xml:space="preserve"> </w:t>
            </w:r>
            <w:proofErr w:type="spellStart"/>
            <w:r w:rsidRPr="00B20254">
              <w:rPr>
                <w:sz w:val="22"/>
                <w:lang w:val="lv-LV" w:eastAsia="lv-LV"/>
              </w:rPr>
              <w:t>Nodes</w:t>
            </w:r>
            <w:proofErr w:type="spellEnd"/>
            <w:r w:rsidRPr="00B20254">
              <w:rPr>
                <w:sz w:val="22"/>
                <w:lang w:val="lv-LV" w:eastAsia="lv-LV"/>
              </w:rPr>
              <w:t xml:space="preserve"> </w:t>
            </w:r>
            <w:r w:rsidRPr="008D0574">
              <w:rPr>
                <w:sz w:val="22"/>
                <w:lang w:val="lv-LV" w:eastAsia="lv-LV"/>
              </w:rPr>
              <w:t xml:space="preserve">36 (trīsdesmit seši) mēneši </w:t>
            </w:r>
            <w:r>
              <w:rPr>
                <w:sz w:val="22"/>
                <w:lang w:val="lv-LV" w:eastAsia="lv-LV"/>
              </w:rPr>
              <w:t>ar</w:t>
            </w:r>
            <w:r w:rsidRPr="008D0574">
              <w:rPr>
                <w:sz w:val="22"/>
                <w:lang w:val="lv-LV" w:eastAsia="lv-LV"/>
              </w:rPr>
              <w:t xml:space="preserve"> 24x7 atbalstu.</w:t>
            </w:r>
          </w:p>
        </w:tc>
      </w:tr>
      <w:tr w:rsidR="005936B6" w:rsidRPr="009C7AAC" w:rsidTr="000E20FD">
        <w:trPr>
          <w:cantSplit/>
          <w:tblCellSpacing w:w="11" w:type="dxa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B6" w:rsidRDefault="005936B6" w:rsidP="000E20FD">
            <w:pPr>
              <w:jc w:val="center"/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Ražotāja garantija un atbalsts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B6" w:rsidRDefault="005936B6" w:rsidP="000E20FD">
            <w:pPr>
              <w:jc w:val="both"/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36 (trīsdesmit seši) mēneši no piegādes brīža ar 24x7 atbalstu</w:t>
            </w:r>
          </w:p>
        </w:tc>
      </w:tr>
    </w:tbl>
    <w:p w:rsidR="005936B6" w:rsidRDefault="005936B6" w:rsidP="005936B6">
      <w:pPr>
        <w:rPr>
          <w:lang w:val="lv-LV"/>
        </w:rPr>
      </w:pPr>
    </w:p>
    <w:p w:rsidR="005936B6" w:rsidRDefault="005936B6" w:rsidP="005936B6">
      <w:pPr>
        <w:pStyle w:val="Header"/>
        <w:tabs>
          <w:tab w:val="left" w:pos="720"/>
        </w:tabs>
        <w:rPr>
          <w:sz w:val="20"/>
          <w:szCs w:val="20"/>
          <w:lang w:val="lv-LV"/>
        </w:rPr>
      </w:pPr>
    </w:p>
    <w:p w:rsidR="005936B6" w:rsidRPr="00E762D6" w:rsidRDefault="005936B6" w:rsidP="005936B6">
      <w:pPr>
        <w:tabs>
          <w:tab w:val="left" w:pos="5145"/>
        </w:tabs>
        <w:rPr>
          <w:lang w:val="lv-LV"/>
        </w:rPr>
      </w:pPr>
    </w:p>
    <w:p w:rsidR="005936B6" w:rsidRPr="00E762D6" w:rsidRDefault="005936B6" w:rsidP="005936B6">
      <w:pPr>
        <w:tabs>
          <w:tab w:val="left" w:pos="5145"/>
        </w:tabs>
        <w:rPr>
          <w:lang w:val="lv-LV"/>
        </w:rPr>
      </w:pPr>
    </w:p>
    <w:p w:rsidR="005936B6" w:rsidRPr="00E762D6" w:rsidRDefault="005936B6" w:rsidP="005936B6">
      <w:pPr>
        <w:tabs>
          <w:tab w:val="left" w:pos="5145"/>
        </w:tabs>
        <w:rPr>
          <w:lang w:val="lv-LV"/>
        </w:rPr>
      </w:pPr>
    </w:p>
    <w:p w:rsidR="005936B6" w:rsidRPr="00E762D6" w:rsidRDefault="005936B6" w:rsidP="005936B6">
      <w:pPr>
        <w:tabs>
          <w:tab w:val="left" w:pos="5145"/>
        </w:tabs>
        <w:rPr>
          <w:lang w:val="lv-LV"/>
        </w:rPr>
      </w:pPr>
    </w:p>
    <w:p w:rsidR="005936B6" w:rsidRDefault="005936B6" w:rsidP="005936B6">
      <w:pPr>
        <w:jc w:val="right"/>
        <w:rPr>
          <w:lang w:val="lv-LV"/>
        </w:rPr>
      </w:pPr>
    </w:p>
    <w:p w:rsidR="0098236C" w:rsidRPr="00C20434" w:rsidRDefault="0098236C">
      <w:pPr>
        <w:rPr>
          <w:rFonts w:ascii="Arial" w:hAnsi="Arial" w:cs="Arial"/>
        </w:rPr>
      </w:pPr>
    </w:p>
    <w:sectPr w:rsidR="0098236C" w:rsidRPr="00C20434" w:rsidSect="00C80CD7">
      <w:pgSz w:w="11906" w:h="16838"/>
      <w:pgMar w:top="851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848F4"/>
    <w:multiLevelType w:val="hybridMultilevel"/>
    <w:tmpl w:val="8D28DDCE"/>
    <w:lvl w:ilvl="0" w:tplc="741278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677E1"/>
    <w:multiLevelType w:val="hybridMultilevel"/>
    <w:tmpl w:val="FFD406FE"/>
    <w:lvl w:ilvl="0" w:tplc="741278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25BC6"/>
    <w:multiLevelType w:val="hybridMultilevel"/>
    <w:tmpl w:val="8E0E31F8"/>
    <w:lvl w:ilvl="0" w:tplc="741278E0">
      <w:start w:val="2"/>
      <w:numFmt w:val="bullet"/>
      <w:lvlText w:val="-"/>
      <w:lvlJc w:val="left"/>
      <w:pPr>
        <w:ind w:left="557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3" w15:restartNumberingAfterBreak="0">
    <w:nsid w:val="6C66455A"/>
    <w:multiLevelType w:val="hybridMultilevel"/>
    <w:tmpl w:val="9B3A99A4"/>
    <w:lvl w:ilvl="0" w:tplc="2A9E79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6B6"/>
    <w:rsid w:val="002135E9"/>
    <w:rsid w:val="003204EA"/>
    <w:rsid w:val="005936B6"/>
    <w:rsid w:val="0098236C"/>
    <w:rsid w:val="00C20434"/>
    <w:rsid w:val="00C8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46DCB73-71D6-4980-96B6-E9F18319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3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har Char"/>
    <w:basedOn w:val="Normal"/>
    <w:link w:val="HeaderChar"/>
    <w:rsid w:val="005936B6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er Char Char Char"/>
    <w:basedOn w:val="DefaultParagraphFont"/>
    <w:link w:val="Header"/>
    <w:rsid w:val="005936B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5936B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936B6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5866</Words>
  <Characters>3344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Apšeniece</dc:creator>
  <cp:keywords/>
  <dc:description/>
  <cp:lastModifiedBy>Aija Apšeniece</cp:lastModifiedBy>
  <cp:revision>3</cp:revision>
  <dcterms:created xsi:type="dcterms:W3CDTF">2019-02-14T13:01:00Z</dcterms:created>
  <dcterms:modified xsi:type="dcterms:W3CDTF">2019-02-15T09:43:00Z</dcterms:modified>
</cp:coreProperties>
</file>