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33" w:rsidRPr="00CD6C33" w:rsidRDefault="00CD6C33" w:rsidP="00CD6C33">
      <w:pPr>
        <w:tabs>
          <w:tab w:val="left" w:pos="4320"/>
          <w:tab w:val="left" w:pos="468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D6C33">
        <w:rPr>
          <w:rFonts w:ascii="Times New Roman" w:eastAsia="Times New Roman" w:hAnsi="Times New Roman" w:cs="Times New Roman"/>
          <w:sz w:val="24"/>
          <w:szCs w:val="24"/>
          <w:lang w:val="lv-LV"/>
        </w:rPr>
        <w:t>Piegādājamās preces, veicamo darbu apjoma apraksts</w:t>
      </w:r>
    </w:p>
    <w:p w:rsidR="00CD6C33" w:rsidRPr="00CD6C33" w:rsidRDefault="00CD6C33" w:rsidP="00CD6C33">
      <w:pPr>
        <w:tabs>
          <w:tab w:val="left" w:pos="4320"/>
          <w:tab w:val="left" w:pos="468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D6C33" w:rsidRDefault="00CD6C33" w:rsidP="0009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902"/>
        <w:gridCol w:w="1126"/>
        <w:gridCol w:w="1538"/>
      </w:tblGrid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N p/k</w:t>
            </w:r>
          </w:p>
        </w:tc>
        <w:tc>
          <w:tcPr>
            <w:tcW w:w="5902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Iekārtas un Darbu apjoms, dzelzceļu stacijas</w:t>
            </w:r>
          </w:p>
        </w:tc>
        <w:tc>
          <w:tcPr>
            <w:tcW w:w="1126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Mērv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.</w:t>
            </w:r>
          </w:p>
        </w:tc>
        <w:tc>
          <w:tcPr>
            <w:tcW w:w="1538" w:type="dxa"/>
            <w:shd w:val="clear" w:color="auto" w:fill="C6E0B4"/>
            <w:vAlign w:val="bottom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apjoms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Krustpils LAZ, Transporta iela 4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Krauja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bookmarkStart w:id="0" w:name="_GoBack"/>
            <w:bookmarkEnd w:id="0"/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Naujene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Izvalda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792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Silava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Krāslava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Skaista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Niedrica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Indra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1031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Līksna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Vabole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Sergunta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Jersika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14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Trepe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proofErr w:type="spellStart"/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Asote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3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16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Rēzekne-2, A pieņemšanas parks, Dienesta ēka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17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Kūkas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18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proofErr w:type="spellStart"/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Mežare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19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Atašiene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Stirniene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21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Varakļāni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22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Viļāni</w:t>
            </w:r>
          </w:p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23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Sakstagals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Istalsna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25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</w:t>
            </w:r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lastRenderedPageBreak/>
              <w:t xml:space="preserve">SNMP pieslēgšana LDZ monitoringa sistēmā, ALCATEL LAN komutatoru konfigurēšana; </w:t>
            </w:r>
            <w:proofErr w:type="spellStart"/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Nerza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lastRenderedPageBreak/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26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 dokumentāciju sagatavošana un uzstādīšana dzelzceļu stacijā; SNMP pieslēgšana LDZ monitoringa sistēmā, ALCATEL LAN komutatoru konfigurēšana; </w:t>
            </w:r>
            <w:proofErr w:type="spellStart"/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Burzava</w:t>
            </w:r>
            <w:proofErr w:type="spellEnd"/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 xml:space="preserve">    27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Ilzeni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28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Mežvidi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29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Pureni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Kārsava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31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Jaunkalsnava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32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PoMo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48-300.6V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System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1200Watt,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>Efore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  <w:t xml:space="preserve"> EPOS MINI vai ekvivalents; piegāde, dokumentāciju sagatavošana un uzstādīšana dzelzceļu stacijā; SNMP pieslēgšana LDZ monitoringa sistēmā, ALCATEL LAN komutatoru konfigurēšana; </w:t>
            </w: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Madona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komplekts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355E3B" w:rsidRPr="00355E3B" w:rsidTr="00355E3B">
        <w:trPr>
          <w:trHeight w:val="288"/>
        </w:trPr>
        <w:tc>
          <w:tcPr>
            <w:tcW w:w="7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color w:val="000000"/>
                <w:lang w:val="lv-LV" w:eastAsia="lv-LV"/>
              </w:rPr>
              <w:t>33</w:t>
            </w:r>
          </w:p>
        </w:tc>
        <w:tc>
          <w:tcPr>
            <w:tcW w:w="59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E3B" w:rsidRPr="00355E3B" w:rsidRDefault="00355E3B" w:rsidP="00355E3B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Nodrošināt (bez sakaru pārtraukuma) darbus  uz diviem ISKRATEL SI3000 serveriem </w:t>
            </w:r>
            <w:r w:rsidRPr="00355E3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(Rīga un Daugavpils): 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Nolasīti sistēmas log failus, attiecība uz cirkulāros sakarus izveidi; Uzsākt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case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ar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, nosūtot log failus ražotāja tehniska atbalsta centram; Veikt log failu analīzi kopā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tehniskie specialistiem.  Nodrošināt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izstrādi problēmas;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uzstādīšana uz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Daugavpilī;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CS SI3000 Daugavpilī restarts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aktivēšanai;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Daugavpils CS SI3000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konferencķēžu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testēšana;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uzstādīšana uz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Active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/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Rīgā;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Rīgā restarts, testēšana pēc servera restarta;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Active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Rīgā restarts un visu konsoļu reģistrācijas kontrole; Cirkulāro sakaru izveides uz TDR.1/TDR.2 dispečeru konsolēm globālā testēšana.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Programmnodrošinājuma </w:t>
            </w:r>
            <w:proofErr w:type="spellStart"/>
            <w:r w:rsidRPr="00355E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lv-LV"/>
              </w:rPr>
              <w:t>upgrade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ISKRATEL E&amp;M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Card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: Saņemt jauno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SI3000 E&amp;M kartes programmnodrošinājumu;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Secīga jaunā programmnodrošinājuma uzstādīšana uz 2 (divām) SI3000 E&amp;M kartēm Rīgā, Darbus izpildīt bez sakaru pārtraukuma;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Secīga divu E&amp;M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Cards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SI3000 Rīgā restarts. Radiosakaru pārtraukums ne ilgāk pa 2 minūtēm;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Secīga jaunā programmnodrošinājuma uzstādīšana uz 2 (divām) SI3000 E&amp;M Daugavpilī;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Secīga divu E&amp;M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Cards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SI3000 Daugavpilī restarts.  Darbus izpildīt bez sakaru pārtraukuma.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lastRenderedPageBreak/>
              <w:t xml:space="preserve">Diagnostika, testēšana un E&amp;M port SI3000/Cisco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Router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2901 mijiedarbības (sadarbības) un atskaišu nolasīšana;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Veikt sistēmas darbības defektu analīzi un novēršanu no 01.07.2018 līdz 30.09.2018;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Uzsākt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case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ar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un nodrošināt (bez sakaru pārtraukuma)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uzstādīšanu;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Nolasīti dažāda līmeņa testa radio izsaukumu log failus, ko veido dežurējošais mehāniķis. Nolasītus log failus nosūtīt uz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tehniskā atbalsta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centru.Kopā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ar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Iskratel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tehniskiem specialistiem veikt log failu analīzi; Izstrādāt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problēmas risināšanai;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uzstādīšana uz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Daugavpilī,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CS SI3000 (Daugavpilī) restarts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aktivēšanai,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Call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Servers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un E&amp;M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Card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stāvokļa testēšana;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Service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Package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uzstādīšana uz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Active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/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(Rīgā);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StandBy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(Rīgā) restarts un testēšana pēc servera restarta. Restart </w:t>
            </w:r>
            <w:proofErr w:type="spellStart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>Active</w:t>
            </w:r>
            <w:proofErr w:type="spellEnd"/>
            <w:r w:rsidRPr="00355E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/>
              </w:rPr>
              <w:t xml:space="preserve"> CS SI3000 (Rīga), konsoļu reģistrācijas kontrole. Radiosakaru uz TDR.1/TDR.2 dispečeru konsolēm globālā testēšana. 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ISKRATEL konsoles remonts (ESC Ventspils) t.sk: Nomainīt klausules paliktni, klausuli un vīto vadu; Uzstādīt jaunu programmnodrošinājumu MPD (BF15) </w:t>
            </w:r>
            <w:proofErr w:type="spellStart"/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Rls</w:t>
            </w:r>
            <w:proofErr w:type="spellEnd"/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2.5.28; Konsoles 2 iekšējo kabeļu nomaiņa uz īsiem ar 4 ferīta filtru uzstādīšanu uz 4 iekšējiem kabeļiem. Vilcienu dispečeru sarunu ierakstu analīze nolūkā novērst problēmu, kas saistīta ar konsoļu restartu.) </w:t>
            </w:r>
          </w:p>
          <w:p w:rsidR="00355E3B" w:rsidRPr="00355E3B" w:rsidRDefault="00355E3B" w:rsidP="00355E3B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Izpildīt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konfigurēšanu un pārbaudīt vilcienu dispečera un stacijas dežuranta sarunu ierakstīšanu esoša sistēmā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ar rezervēšanu un sarunu glabāšanu 1 gadu laikā;</w:t>
            </w:r>
            <w:r w:rsidRPr="00355E3B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Izpildīt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konfigurēšanu un pārbaudīt vilcienu dispečera un stacijas dežuranta Vilcienu radiosakaru sistēmas (VRS) RS-6, RS-46, RLSM-10 radiostacijas vadību, izmantojot E&amp;M kanālu LDZ datu pārraides tīklā un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dispečeru sistēmu ar tonālās modulācijas bāzētu signalizācijas sistēmu 12 dzelzceļa iecirkņos katrā radiostacijā. Izpildīt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konfigurēšanu un pārbaudīt vilcienu dispečera un stacijas dežuranta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VoIP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telefoniju </w:t>
            </w:r>
            <w:proofErr w:type="spellStart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>Iskratel</w:t>
            </w:r>
            <w:proofErr w:type="spellEnd"/>
            <w:r w:rsidRPr="00355E3B">
              <w:rPr>
                <w:rFonts w:ascii="Times New Roman" w:hAnsi="Times New Roman" w:cs="Times New Roman"/>
                <w:sz w:val="20"/>
                <w:szCs w:val="20"/>
                <w:lang w:val="lv-LV" w:eastAsia="ar-SA"/>
              </w:rPr>
              <w:t xml:space="preserve"> konsolēs slēgtā un publiskā telefonijas tīklā katrā dzelzceļu stacijā.</w:t>
            </w: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</w:pPr>
          </w:p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sz w:val="18"/>
                <w:szCs w:val="18"/>
                <w:lang w:val="lv-LV" w:eastAsia="lv-LV"/>
              </w:rPr>
              <w:t>serveris</w:t>
            </w:r>
          </w:p>
        </w:tc>
        <w:tc>
          <w:tcPr>
            <w:tcW w:w="1538" w:type="dxa"/>
            <w:vAlign w:val="center"/>
          </w:tcPr>
          <w:p w:rsidR="00355E3B" w:rsidRPr="00355E3B" w:rsidRDefault="00355E3B" w:rsidP="00355E3B">
            <w:pPr>
              <w:suppressAutoHyphens/>
              <w:jc w:val="center"/>
              <w:rPr>
                <w:rFonts w:ascii="Times New Roman" w:hAnsi="Times New Roman" w:cs="Times New Roman"/>
                <w:lang w:val="lv-LV" w:eastAsia="lv-LV"/>
              </w:rPr>
            </w:pPr>
            <w:r w:rsidRPr="00355E3B">
              <w:rPr>
                <w:rFonts w:ascii="Times New Roman" w:hAnsi="Times New Roman" w:cs="Times New Roman"/>
                <w:lang w:val="lv-LV" w:eastAsia="lv-LV"/>
              </w:rPr>
              <w:t>2</w:t>
            </w:r>
          </w:p>
        </w:tc>
      </w:tr>
    </w:tbl>
    <w:p w:rsidR="00DD32AA" w:rsidRPr="00355E3B" w:rsidRDefault="00DD32AA" w:rsidP="00355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sectPr w:rsidR="00DD32AA" w:rsidRPr="00355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94338"/>
    <w:rsid w:val="001E2FA0"/>
    <w:rsid w:val="00204F13"/>
    <w:rsid w:val="00355E3B"/>
    <w:rsid w:val="004A502C"/>
    <w:rsid w:val="005527C2"/>
    <w:rsid w:val="00857522"/>
    <w:rsid w:val="008752EE"/>
    <w:rsid w:val="00C40A19"/>
    <w:rsid w:val="00CC2596"/>
    <w:rsid w:val="00CD6C33"/>
    <w:rsid w:val="00DD32AA"/>
    <w:rsid w:val="00F836CB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7142</Words>
  <Characters>4071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3</cp:revision>
  <dcterms:created xsi:type="dcterms:W3CDTF">2018-10-29T08:16:00Z</dcterms:created>
  <dcterms:modified xsi:type="dcterms:W3CDTF">2018-10-29T08:16:00Z</dcterms:modified>
</cp:coreProperties>
</file>