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6E5F" w14:textId="77777777" w:rsidR="00C45BF1" w:rsidRDefault="00C45BF1" w:rsidP="00C45BF1">
      <w:pPr>
        <w:rPr>
          <w:lang w:val="lv-LV"/>
        </w:rPr>
      </w:pPr>
    </w:p>
    <w:p w14:paraId="78DA1364" w14:textId="77777777" w:rsidR="00C45BF1" w:rsidRDefault="00C45BF1" w:rsidP="00C45BF1">
      <w:pPr>
        <w:rPr>
          <w:lang w:val="lv-LV"/>
        </w:rPr>
      </w:pPr>
    </w:p>
    <w:p w14:paraId="3B05BA95" w14:textId="77777777" w:rsidR="00717CD6" w:rsidRPr="001A3CAD" w:rsidRDefault="00717CD6" w:rsidP="00717CD6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bookmarkStart w:id="0" w:name="_GoBack"/>
      <w:bookmarkEnd w:id="0"/>
      <w:r w:rsidRPr="001A3CAD">
        <w:rPr>
          <w:i/>
          <w:sz w:val="24"/>
          <w:szCs w:val="24"/>
        </w:rPr>
        <w:t>APSTIPRINĀTS:</w:t>
      </w:r>
    </w:p>
    <w:p w14:paraId="65D3C643" w14:textId="29FE7805" w:rsidR="00717CD6" w:rsidRPr="001A3CAD" w:rsidRDefault="00717CD6" w:rsidP="00717CD6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proofErr w:type="spellStart"/>
      <w:r w:rsidRPr="001A3CAD">
        <w:rPr>
          <w:i/>
          <w:sz w:val="24"/>
          <w:szCs w:val="24"/>
        </w:rPr>
        <w:t>ar</w:t>
      </w:r>
      <w:proofErr w:type="spellEnd"/>
      <w:r w:rsidRPr="001A3CAD">
        <w:rPr>
          <w:i/>
          <w:sz w:val="24"/>
          <w:szCs w:val="24"/>
        </w:rPr>
        <w:t xml:space="preserve"> </w:t>
      </w:r>
      <w:proofErr w:type="spellStart"/>
      <w:r w:rsidRPr="001A3CAD">
        <w:rPr>
          <w:i/>
          <w:sz w:val="24"/>
          <w:szCs w:val="24"/>
        </w:rPr>
        <w:t>iepirkuma</w:t>
      </w:r>
      <w:proofErr w:type="spellEnd"/>
      <w:r w:rsidRPr="001A3CAD">
        <w:rPr>
          <w:i/>
          <w:sz w:val="24"/>
          <w:szCs w:val="24"/>
        </w:rPr>
        <w:t xml:space="preserve"> </w:t>
      </w:r>
      <w:proofErr w:type="spellStart"/>
      <w:r w:rsidRPr="001A3CAD">
        <w:rPr>
          <w:i/>
          <w:sz w:val="24"/>
          <w:szCs w:val="24"/>
        </w:rPr>
        <w:t>komisijas</w:t>
      </w:r>
      <w:proofErr w:type="spellEnd"/>
      <w:r w:rsidRPr="001A3CAD">
        <w:rPr>
          <w:i/>
          <w:sz w:val="24"/>
          <w:szCs w:val="24"/>
        </w:rPr>
        <w:t xml:space="preserve"> </w:t>
      </w:r>
      <w:r w:rsidRPr="001A3CAD">
        <w:rPr>
          <w:rFonts w:eastAsia="Arial Unicode MS"/>
          <w:i/>
          <w:sz w:val="24"/>
        </w:rPr>
        <w:t>2019</w:t>
      </w:r>
      <w:r w:rsidRPr="00735553">
        <w:rPr>
          <w:rFonts w:eastAsia="Arial Unicode MS"/>
          <w:i/>
          <w:sz w:val="24"/>
        </w:rPr>
        <w:t>.</w:t>
      </w:r>
      <w:r w:rsidRPr="006B5391">
        <w:rPr>
          <w:rFonts w:eastAsia="Arial Unicode MS"/>
          <w:i/>
          <w:sz w:val="24"/>
        </w:rPr>
        <w:t xml:space="preserve">gada </w:t>
      </w:r>
      <w:proofErr w:type="gramStart"/>
      <w:r>
        <w:rPr>
          <w:rFonts w:eastAsia="Arial Unicode MS"/>
          <w:i/>
          <w:sz w:val="24"/>
        </w:rPr>
        <w:t>27</w:t>
      </w:r>
      <w:r w:rsidRPr="006B5391">
        <w:rPr>
          <w:rFonts w:eastAsia="Arial Unicode MS"/>
          <w:i/>
          <w:sz w:val="24"/>
        </w:rPr>
        <w:t>.jūnija</w:t>
      </w:r>
      <w:proofErr w:type="gramEnd"/>
      <w:r w:rsidRPr="001A3CAD">
        <w:rPr>
          <w:rFonts w:eastAsia="Arial Unicode MS"/>
          <w:i/>
          <w:sz w:val="24"/>
        </w:rPr>
        <w:t xml:space="preserve"> </w:t>
      </w:r>
    </w:p>
    <w:p w14:paraId="0869D3E8" w14:textId="526A74A0" w:rsidR="00717CD6" w:rsidRPr="001A3CAD" w:rsidRDefault="00717CD6" w:rsidP="00717CD6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proofErr w:type="spellStart"/>
      <w:r w:rsidRPr="001A3CAD">
        <w:rPr>
          <w:rFonts w:eastAsia="Arial Unicode MS"/>
          <w:i/>
          <w:sz w:val="24"/>
        </w:rPr>
        <w:t>sēdes</w:t>
      </w:r>
      <w:proofErr w:type="spellEnd"/>
      <w:r w:rsidRPr="001A3CAD">
        <w:rPr>
          <w:rFonts w:eastAsia="Arial Unicode MS"/>
          <w:i/>
          <w:sz w:val="24"/>
        </w:rPr>
        <w:t xml:space="preserve"> </w:t>
      </w:r>
      <w:proofErr w:type="spellStart"/>
      <w:r w:rsidRPr="001A3CAD">
        <w:rPr>
          <w:rFonts w:eastAsia="Arial Unicode MS"/>
          <w:i/>
          <w:sz w:val="24"/>
        </w:rPr>
        <w:t>protokolu</w:t>
      </w:r>
      <w:proofErr w:type="spellEnd"/>
      <w:r w:rsidRPr="001A3CAD">
        <w:rPr>
          <w:rFonts w:eastAsia="Arial Unicode MS"/>
          <w:i/>
          <w:sz w:val="24"/>
        </w:rPr>
        <w:t xml:space="preserve"> Nr.</w:t>
      </w:r>
      <w:r>
        <w:rPr>
          <w:rFonts w:eastAsia="Arial Unicode MS"/>
          <w:i/>
          <w:sz w:val="24"/>
        </w:rPr>
        <w:t>2</w:t>
      </w:r>
    </w:p>
    <w:p w14:paraId="5EF31D68" w14:textId="77777777" w:rsidR="00717CD6" w:rsidRPr="001A3CAD" w:rsidRDefault="00717CD6" w:rsidP="00717CD6">
      <w:pPr>
        <w:tabs>
          <w:tab w:val="left" w:pos="3760"/>
        </w:tabs>
        <w:ind w:right="282"/>
        <w:jc w:val="both"/>
        <w:rPr>
          <w:b/>
          <w:sz w:val="24"/>
          <w:szCs w:val="24"/>
        </w:rPr>
      </w:pPr>
    </w:p>
    <w:p w14:paraId="2FBC0C7A" w14:textId="77777777" w:rsidR="00717CD6" w:rsidRPr="001A3CAD" w:rsidRDefault="00717CD6" w:rsidP="00717CD6">
      <w:pPr>
        <w:tabs>
          <w:tab w:val="left" w:pos="3760"/>
        </w:tabs>
        <w:ind w:left="-284" w:right="282"/>
        <w:jc w:val="center"/>
        <w:rPr>
          <w:b/>
          <w:sz w:val="24"/>
          <w:szCs w:val="24"/>
        </w:rPr>
      </w:pPr>
    </w:p>
    <w:p w14:paraId="551298D6" w14:textId="457E393C" w:rsidR="00717CD6" w:rsidRDefault="00717CD6" w:rsidP="00717CD6">
      <w:pPr>
        <w:jc w:val="center"/>
        <w:rPr>
          <w:b/>
          <w:sz w:val="24"/>
          <w:lang w:eastAsia="en-US"/>
        </w:rPr>
      </w:pPr>
      <w:r w:rsidRPr="001A3CAD">
        <w:rPr>
          <w:b/>
          <w:sz w:val="24"/>
        </w:rPr>
        <w:t>SKAIDROJUMS Nr.</w:t>
      </w:r>
      <w:r>
        <w:rPr>
          <w:b/>
          <w:sz w:val="24"/>
        </w:rPr>
        <w:t>1</w:t>
      </w:r>
    </w:p>
    <w:p w14:paraId="5C377B29" w14:textId="0B29E854" w:rsidR="00717CD6" w:rsidRPr="003957DA" w:rsidRDefault="00717CD6" w:rsidP="00717CD6">
      <w:pPr>
        <w:jc w:val="center"/>
        <w:rPr>
          <w:b/>
          <w:sz w:val="24"/>
          <w:lang w:eastAsia="en-US"/>
        </w:rPr>
      </w:pPr>
      <w:r w:rsidRPr="003957DA">
        <w:rPr>
          <w:b/>
          <w:sz w:val="24"/>
          <w:lang w:eastAsia="en-US"/>
        </w:rPr>
        <w:t>VAS “</w:t>
      </w:r>
      <w:proofErr w:type="spellStart"/>
      <w:r w:rsidRPr="003957DA">
        <w:rPr>
          <w:b/>
          <w:sz w:val="24"/>
          <w:lang w:eastAsia="en-US"/>
        </w:rPr>
        <w:t>Latvijas</w:t>
      </w:r>
      <w:proofErr w:type="spellEnd"/>
      <w:r w:rsidRPr="003957DA">
        <w:rPr>
          <w:b/>
          <w:sz w:val="24"/>
          <w:lang w:eastAsia="en-US"/>
        </w:rPr>
        <w:t xml:space="preserve"> </w:t>
      </w:r>
      <w:proofErr w:type="spellStart"/>
      <w:r w:rsidRPr="003957DA">
        <w:rPr>
          <w:b/>
          <w:sz w:val="24"/>
          <w:lang w:eastAsia="en-US"/>
        </w:rPr>
        <w:t>dzelzceļš</w:t>
      </w:r>
      <w:proofErr w:type="spellEnd"/>
      <w:r w:rsidRPr="003957DA">
        <w:rPr>
          <w:b/>
          <w:sz w:val="24"/>
          <w:lang w:eastAsia="en-US"/>
        </w:rPr>
        <w:t xml:space="preserve">” </w:t>
      </w:r>
      <w:proofErr w:type="spellStart"/>
      <w:r w:rsidRPr="003957DA">
        <w:rPr>
          <w:b/>
          <w:sz w:val="24"/>
          <w:lang w:eastAsia="en-US"/>
        </w:rPr>
        <w:t>organizēt</w:t>
      </w:r>
      <w:r>
        <w:rPr>
          <w:b/>
          <w:sz w:val="24"/>
          <w:lang w:eastAsia="en-US"/>
        </w:rPr>
        <w:t>ajai</w:t>
      </w:r>
      <w:proofErr w:type="spellEnd"/>
    </w:p>
    <w:p w14:paraId="577CC1BD" w14:textId="1666976E" w:rsidR="00717CD6" w:rsidRPr="00CD0BEE" w:rsidRDefault="00717CD6" w:rsidP="00717CD6">
      <w:pPr>
        <w:ind w:left="142" w:right="-1"/>
        <w:jc w:val="center"/>
        <w:rPr>
          <w:b/>
          <w:sz w:val="24"/>
          <w:szCs w:val="24"/>
          <w:lang w:eastAsia="en-US"/>
        </w:rPr>
      </w:pPr>
      <w:proofErr w:type="spellStart"/>
      <w:r w:rsidRPr="00CD0BEE">
        <w:rPr>
          <w:b/>
          <w:sz w:val="24"/>
          <w:szCs w:val="24"/>
          <w:lang w:eastAsia="en-US"/>
        </w:rPr>
        <w:t>sarunu</w:t>
      </w:r>
      <w:proofErr w:type="spellEnd"/>
      <w:r w:rsidRPr="00CD0BEE">
        <w:rPr>
          <w:b/>
          <w:sz w:val="24"/>
          <w:szCs w:val="24"/>
          <w:lang w:eastAsia="en-US"/>
        </w:rPr>
        <w:t xml:space="preserve"> </w:t>
      </w:r>
      <w:proofErr w:type="spellStart"/>
      <w:r w:rsidRPr="00CD0BEE">
        <w:rPr>
          <w:b/>
          <w:sz w:val="24"/>
          <w:szCs w:val="24"/>
          <w:lang w:eastAsia="en-US"/>
        </w:rPr>
        <w:t>procedūra</w:t>
      </w:r>
      <w:r>
        <w:rPr>
          <w:b/>
          <w:sz w:val="24"/>
          <w:szCs w:val="24"/>
          <w:lang w:eastAsia="en-US"/>
        </w:rPr>
        <w:t>i</w:t>
      </w:r>
      <w:proofErr w:type="spellEnd"/>
      <w:r w:rsidRPr="00CD0BEE">
        <w:rPr>
          <w:b/>
          <w:sz w:val="24"/>
          <w:szCs w:val="24"/>
          <w:lang w:eastAsia="en-US"/>
        </w:rPr>
        <w:t xml:space="preserve"> </w:t>
      </w:r>
      <w:proofErr w:type="spellStart"/>
      <w:r w:rsidRPr="00CD0BEE">
        <w:rPr>
          <w:b/>
          <w:sz w:val="24"/>
          <w:szCs w:val="24"/>
          <w:lang w:eastAsia="en-US"/>
        </w:rPr>
        <w:t>ar</w:t>
      </w:r>
      <w:proofErr w:type="spellEnd"/>
      <w:r w:rsidRPr="00CD0BEE">
        <w:rPr>
          <w:b/>
          <w:sz w:val="24"/>
          <w:szCs w:val="24"/>
          <w:lang w:eastAsia="en-US"/>
        </w:rPr>
        <w:t xml:space="preserve"> </w:t>
      </w:r>
      <w:proofErr w:type="spellStart"/>
      <w:r w:rsidRPr="00CD0BEE">
        <w:rPr>
          <w:b/>
          <w:sz w:val="24"/>
          <w:szCs w:val="24"/>
          <w:lang w:eastAsia="en-US"/>
        </w:rPr>
        <w:t>publikāciju</w:t>
      </w:r>
      <w:proofErr w:type="spellEnd"/>
    </w:p>
    <w:p w14:paraId="68215470" w14:textId="401C5E03" w:rsidR="00717CD6" w:rsidRPr="001A3CAD" w:rsidRDefault="00717CD6" w:rsidP="00717CD6">
      <w:pPr>
        <w:ind w:left="284" w:right="-1"/>
        <w:jc w:val="center"/>
        <w:rPr>
          <w:sz w:val="24"/>
        </w:rPr>
      </w:pPr>
      <w:r w:rsidRPr="00CD0BEE">
        <w:rPr>
          <w:b/>
          <w:sz w:val="24"/>
          <w:szCs w:val="24"/>
          <w:lang w:eastAsia="en-US"/>
        </w:rPr>
        <w:t>„</w:t>
      </w:r>
      <w:proofErr w:type="spellStart"/>
      <w:r w:rsidRPr="00717CD6">
        <w:rPr>
          <w:b/>
          <w:sz w:val="24"/>
          <w:szCs w:val="24"/>
          <w:lang w:eastAsia="en-US"/>
        </w:rPr>
        <w:t>Transformatoru</w:t>
      </w:r>
      <w:proofErr w:type="spellEnd"/>
      <w:r w:rsidRPr="00717CD6">
        <w:rPr>
          <w:b/>
          <w:sz w:val="24"/>
          <w:szCs w:val="24"/>
          <w:lang w:eastAsia="en-US"/>
        </w:rPr>
        <w:t xml:space="preserve"> </w:t>
      </w:r>
      <w:proofErr w:type="spellStart"/>
      <w:r w:rsidRPr="00717CD6">
        <w:rPr>
          <w:b/>
          <w:sz w:val="24"/>
          <w:szCs w:val="24"/>
          <w:lang w:eastAsia="en-US"/>
        </w:rPr>
        <w:t>apakšstaciju</w:t>
      </w:r>
      <w:proofErr w:type="spellEnd"/>
      <w:r w:rsidRPr="00717CD6">
        <w:rPr>
          <w:b/>
          <w:sz w:val="24"/>
          <w:szCs w:val="24"/>
          <w:lang w:eastAsia="en-US"/>
        </w:rPr>
        <w:t xml:space="preserve"> TP-19 un TP-9125 </w:t>
      </w:r>
      <w:proofErr w:type="spellStart"/>
      <w:r w:rsidRPr="00717CD6">
        <w:rPr>
          <w:b/>
          <w:sz w:val="24"/>
          <w:szCs w:val="24"/>
          <w:lang w:eastAsia="en-US"/>
        </w:rPr>
        <w:t>modernizācija</w:t>
      </w:r>
      <w:proofErr w:type="spellEnd"/>
      <w:r w:rsidRPr="00CD0BEE">
        <w:rPr>
          <w:b/>
          <w:sz w:val="24"/>
          <w:szCs w:val="24"/>
          <w:lang w:eastAsia="en-US"/>
        </w:rPr>
        <w:t>”</w:t>
      </w:r>
    </w:p>
    <w:p w14:paraId="61B1324A" w14:textId="14FFC857" w:rsidR="00717CD6" w:rsidRDefault="00717CD6" w:rsidP="00717CD6">
      <w:pPr>
        <w:ind w:left="284" w:right="282"/>
        <w:jc w:val="center"/>
        <w:rPr>
          <w:b/>
          <w:sz w:val="24"/>
        </w:rPr>
      </w:pPr>
    </w:p>
    <w:p w14:paraId="65E32669" w14:textId="77777777" w:rsidR="00717CD6" w:rsidRDefault="00717CD6" w:rsidP="00717CD6">
      <w:pPr>
        <w:ind w:left="-284" w:right="282"/>
        <w:jc w:val="center"/>
        <w:rPr>
          <w:b/>
          <w:sz w:val="2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089"/>
        <w:gridCol w:w="4009"/>
        <w:gridCol w:w="4395"/>
      </w:tblGrid>
      <w:tr w:rsidR="00717CD6" w:rsidRPr="00C351C9" w14:paraId="4420CC4C" w14:textId="77777777" w:rsidTr="00717CD6">
        <w:trPr>
          <w:jc w:val="center"/>
        </w:trPr>
        <w:tc>
          <w:tcPr>
            <w:tcW w:w="1089" w:type="dxa"/>
            <w:shd w:val="clear" w:color="auto" w:fill="FFF2CC"/>
          </w:tcPr>
          <w:p w14:paraId="564568B4" w14:textId="77777777" w:rsidR="00717CD6" w:rsidRPr="002F4EB7" w:rsidRDefault="00717CD6" w:rsidP="00484C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Nr.p.k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9" w:type="dxa"/>
            <w:shd w:val="clear" w:color="auto" w:fill="FFF2CC"/>
          </w:tcPr>
          <w:p w14:paraId="3FCEA412" w14:textId="77777777" w:rsidR="00717CD6" w:rsidRPr="002F4EB7" w:rsidRDefault="00717CD6" w:rsidP="00484C5C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 w:rsidRPr="002F4EB7">
              <w:rPr>
                <w:rFonts w:eastAsia="Calibri"/>
                <w:i/>
                <w:sz w:val="24"/>
                <w:szCs w:val="24"/>
                <w:lang w:eastAsia="en-US"/>
              </w:rPr>
              <w:t>Jautājums</w:t>
            </w:r>
            <w:proofErr w:type="spellEnd"/>
          </w:p>
        </w:tc>
        <w:tc>
          <w:tcPr>
            <w:tcW w:w="4395" w:type="dxa"/>
            <w:shd w:val="clear" w:color="auto" w:fill="E5DFEC" w:themeFill="accent4" w:themeFillTint="33"/>
          </w:tcPr>
          <w:p w14:paraId="757928D8" w14:textId="77777777" w:rsidR="00717CD6" w:rsidRPr="002F4EB7" w:rsidRDefault="00717CD6" w:rsidP="00484C5C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 w:rsidRPr="002F4EB7">
              <w:rPr>
                <w:rFonts w:eastAsia="Calibri"/>
                <w:i/>
                <w:sz w:val="24"/>
                <w:szCs w:val="24"/>
                <w:lang w:eastAsia="en-US"/>
              </w:rPr>
              <w:t>Atbilde</w:t>
            </w:r>
            <w:proofErr w:type="spellEnd"/>
          </w:p>
        </w:tc>
      </w:tr>
      <w:tr w:rsidR="00717CD6" w:rsidRPr="00C351C9" w14:paraId="2DA40383" w14:textId="77777777" w:rsidTr="00717CD6">
        <w:trPr>
          <w:jc w:val="center"/>
        </w:trPr>
        <w:tc>
          <w:tcPr>
            <w:tcW w:w="1089" w:type="dxa"/>
            <w:shd w:val="clear" w:color="auto" w:fill="DCFDD7"/>
          </w:tcPr>
          <w:p w14:paraId="394A53C1" w14:textId="77777777" w:rsidR="00717CD6" w:rsidRPr="002F4EB7" w:rsidRDefault="00717CD6" w:rsidP="00484C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shd w:val="clear" w:color="auto" w:fill="DCFDD7"/>
          </w:tcPr>
          <w:p w14:paraId="737BEC46" w14:textId="77777777" w:rsidR="00717CD6" w:rsidRPr="002F4EB7" w:rsidRDefault="00717CD6" w:rsidP="00484C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4EB7">
              <w:rPr>
                <w:rFonts w:eastAsia="Calibri"/>
                <w:sz w:val="24"/>
                <w:szCs w:val="24"/>
                <w:lang w:eastAsia="en-US"/>
              </w:rPr>
              <w:t>25.06.2019.</w:t>
            </w:r>
          </w:p>
        </w:tc>
        <w:tc>
          <w:tcPr>
            <w:tcW w:w="4395" w:type="dxa"/>
            <w:shd w:val="clear" w:color="auto" w:fill="DCFDD7"/>
          </w:tcPr>
          <w:p w14:paraId="74243F79" w14:textId="247D5FF9" w:rsidR="00717CD6" w:rsidRPr="002F4EB7" w:rsidRDefault="00717CD6" w:rsidP="00484C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4EB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F4EB7" w:rsidRPr="002F4EB7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2F4EB7">
              <w:rPr>
                <w:rFonts w:eastAsia="Calibri"/>
                <w:sz w:val="24"/>
                <w:szCs w:val="24"/>
                <w:lang w:eastAsia="en-US"/>
              </w:rPr>
              <w:t>.06.2019.</w:t>
            </w:r>
          </w:p>
        </w:tc>
      </w:tr>
      <w:tr w:rsidR="00717CD6" w:rsidRPr="00C351C9" w14:paraId="5EA7C7F0" w14:textId="77777777" w:rsidTr="00717CD6">
        <w:trPr>
          <w:jc w:val="center"/>
        </w:trPr>
        <w:tc>
          <w:tcPr>
            <w:tcW w:w="1089" w:type="dxa"/>
          </w:tcPr>
          <w:p w14:paraId="08278A7D" w14:textId="77777777" w:rsidR="00717CD6" w:rsidRPr="002F4EB7" w:rsidRDefault="00717CD6" w:rsidP="00484C5C">
            <w:pPr>
              <w:pStyle w:val="ListParagraph"/>
              <w:ind w:left="0" w:right="282"/>
              <w:jc w:val="center"/>
              <w:rPr>
                <w:b/>
                <w:sz w:val="24"/>
              </w:rPr>
            </w:pPr>
            <w:r w:rsidRPr="002F4EB7">
              <w:rPr>
                <w:b/>
                <w:sz w:val="24"/>
              </w:rPr>
              <w:t>1.</w:t>
            </w:r>
          </w:p>
        </w:tc>
        <w:tc>
          <w:tcPr>
            <w:tcW w:w="4009" w:type="dxa"/>
          </w:tcPr>
          <w:p w14:paraId="6FF8A557" w14:textId="2A619F3D" w:rsidR="00717CD6" w:rsidRPr="002F4EB7" w:rsidRDefault="00717CD6" w:rsidP="00484C5C">
            <w:pPr>
              <w:rPr>
                <w:sz w:val="24"/>
              </w:rPr>
            </w:pPr>
            <w:proofErr w:type="spellStart"/>
            <w:r w:rsidRPr="002F4EB7">
              <w:rPr>
                <w:sz w:val="24"/>
              </w:rPr>
              <w:t>Lūdzam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rast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iespēju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izslēgt</w:t>
            </w:r>
            <w:proofErr w:type="spellEnd"/>
            <w:r w:rsidRPr="002F4EB7">
              <w:rPr>
                <w:sz w:val="24"/>
              </w:rPr>
              <w:t xml:space="preserve"> no </w:t>
            </w:r>
            <w:proofErr w:type="spellStart"/>
            <w:r w:rsidRPr="002F4EB7">
              <w:rPr>
                <w:sz w:val="24"/>
              </w:rPr>
              <w:t>nolikuma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gramStart"/>
            <w:r w:rsidRPr="002F4EB7">
              <w:rPr>
                <w:sz w:val="24"/>
              </w:rPr>
              <w:t>1.pielikuma</w:t>
            </w:r>
            <w:proofErr w:type="gramEnd"/>
            <w:r w:rsidRPr="002F4EB7">
              <w:rPr>
                <w:sz w:val="24"/>
              </w:rPr>
              <w:t xml:space="preserve"> 5.2.punkta: “</w:t>
            </w:r>
            <w:proofErr w:type="spellStart"/>
            <w:r w:rsidR="00EF5C28" w:rsidRPr="002F4EB7">
              <w:rPr>
                <w:sz w:val="24"/>
              </w:rPr>
              <w:t>Darbu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vadītājs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ir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apmācīts</w:t>
            </w:r>
            <w:proofErr w:type="spellEnd"/>
            <w:r w:rsidR="00EF5C28" w:rsidRPr="002F4EB7">
              <w:rPr>
                <w:sz w:val="24"/>
              </w:rPr>
              <w:t xml:space="preserve"> un </w:t>
            </w:r>
            <w:proofErr w:type="spellStart"/>
            <w:r w:rsidR="00EF5C28" w:rsidRPr="002F4EB7">
              <w:rPr>
                <w:sz w:val="24"/>
              </w:rPr>
              <w:t>kompetents</w:t>
            </w:r>
            <w:proofErr w:type="spellEnd"/>
            <w:r w:rsidR="00EF5C28" w:rsidRPr="002F4EB7">
              <w:rPr>
                <w:sz w:val="24"/>
              </w:rPr>
              <w:t xml:space="preserve">, </w:t>
            </w:r>
            <w:proofErr w:type="spellStart"/>
            <w:r w:rsidR="00EF5C28" w:rsidRPr="002F4EB7">
              <w:rPr>
                <w:sz w:val="24"/>
              </w:rPr>
              <w:t>lai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darba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veikšanai</w:t>
            </w:r>
            <w:proofErr w:type="spellEnd"/>
            <w:r w:rsidR="00EF5C28" w:rsidRPr="002F4EB7">
              <w:rPr>
                <w:sz w:val="24"/>
              </w:rPr>
              <w:t xml:space="preserve"> un </w:t>
            </w:r>
            <w:proofErr w:type="spellStart"/>
            <w:r w:rsidR="00EF5C28" w:rsidRPr="002F4EB7">
              <w:rPr>
                <w:sz w:val="24"/>
              </w:rPr>
              <w:t>satiksmes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drošības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garantēšanai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nodrošinātu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dzelzceļa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tehniskās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ekspluatācijas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noteikumiem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atbilstošu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darba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organizāciju</w:t>
            </w:r>
            <w:proofErr w:type="spellEnd"/>
            <w:r w:rsidRPr="002F4EB7">
              <w:rPr>
                <w:sz w:val="24"/>
              </w:rPr>
              <w:t>” un 1.</w:t>
            </w:r>
            <w:r w:rsidR="00EF5C28" w:rsidRPr="002F4EB7">
              <w:rPr>
                <w:sz w:val="24"/>
              </w:rPr>
              <w:t>9</w:t>
            </w:r>
            <w:r w:rsidRPr="002F4EB7">
              <w:rPr>
                <w:sz w:val="24"/>
              </w:rPr>
              <w:t>.1</w:t>
            </w:r>
            <w:r w:rsidR="00EF5C28" w:rsidRPr="002F4EB7">
              <w:rPr>
                <w:sz w:val="24"/>
              </w:rPr>
              <w:t>9</w:t>
            </w:r>
            <w:r w:rsidRPr="002F4EB7">
              <w:rPr>
                <w:sz w:val="24"/>
              </w:rPr>
              <w:t>.punkta: “</w:t>
            </w:r>
            <w:proofErr w:type="spellStart"/>
            <w:r w:rsidR="00EF5C28" w:rsidRPr="002F4EB7">
              <w:rPr>
                <w:sz w:val="24"/>
              </w:rPr>
              <w:t>Valsts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dzelzceļa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tehniskās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inspekcijas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izsniegta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dzelzceļa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speciālista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apliecības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kopija</w:t>
            </w:r>
            <w:proofErr w:type="spellEnd"/>
            <w:r w:rsidR="00EF5C28" w:rsidRPr="002F4EB7">
              <w:rPr>
                <w:sz w:val="24"/>
              </w:rPr>
              <w:t xml:space="preserve">. </w:t>
            </w:r>
            <w:proofErr w:type="spellStart"/>
            <w:r w:rsidR="00EF5C28" w:rsidRPr="002F4EB7">
              <w:rPr>
                <w:sz w:val="24"/>
              </w:rPr>
              <w:t>Iesniedzama</w:t>
            </w:r>
            <w:proofErr w:type="spellEnd"/>
            <w:r w:rsidR="00EF5C28" w:rsidRPr="002F4EB7">
              <w:rPr>
                <w:sz w:val="24"/>
              </w:rPr>
              <w:t xml:space="preserve"> par </w:t>
            </w:r>
            <w:proofErr w:type="spellStart"/>
            <w:r w:rsidR="00EF5C28" w:rsidRPr="002F4EB7">
              <w:rPr>
                <w:sz w:val="24"/>
              </w:rPr>
              <w:t>darbu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veikšanai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piedāvāto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darbu</w:t>
            </w:r>
            <w:proofErr w:type="spellEnd"/>
            <w:r w:rsidR="00EF5C28" w:rsidRPr="002F4EB7">
              <w:rPr>
                <w:sz w:val="24"/>
              </w:rPr>
              <w:t xml:space="preserve"> </w:t>
            </w:r>
            <w:proofErr w:type="spellStart"/>
            <w:r w:rsidR="00EF5C28" w:rsidRPr="002F4EB7">
              <w:rPr>
                <w:sz w:val="24"/>
              </w:rPr>
              <w:t>vadītāju</w:t>
            </w:r>
            <w:proofErr w:type="spellEnd"/>
            <w:r w:rsidRPr="002F4EB7">
              <w:rPr>
                <w:sz w:val="24"/>
              </w:rPr>
              <w:t xml:space="preserve">” </w:t>
            </w:r>
            <w:proofErr w:type="spellStart"/>
            <w:r w:rsidRPr="002F4EB7">
              <w:rPr>
                <w:sz w:val="24"/>
              </w:rPr>
              <w:t>kvalifikācijas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prasības</w:t>
            </w:r>
            <w:proofErr w:type="spellEnd"/>
            <w:r w:rsidRPr="002F4EB7">
              <w:rPr>
                <w:sz w:val="24"/>
              </w:rPr>
              <w:t>.</w:t>
            </w:r>
          </w:p>
          <w:p w14:paraId="30EBE2D5" w14:textId="77777777" w:rsidR="00717CD6" w:rsidRPr="002F4EB7" w:rsidRDefault="00717CD6" w:rsidP="00484C5C">
            <w:pPr>
              <w:rPr>
                <w:sz w:val="24"/>
              </w:rPr>
            </w:pPr>
          </w:p>
          <w:p w14:paraId="6469D254" w14:textId="55F9B81F" w:rsidR="00717CD6" w:rsidRPr="002F4EB7" w:rsidRDefault="00717CD6" w:rsidP="00484C5C">
            <w:pPr>
              <w:rPr>
                <w:sz w:val="24"/>
              </w:rPr>
            </w:pPr>
            <w:proofErr w:type="spellStart"/>
            <w:r w:rsidRPr="002F4EB7">
              <w:rPr>
                <w:sz w:val="24"/>
              </w:rPr>
              <w:t>Uzskatām</w:t>
            </w:r>
            <w:proofErr w:type="spellEnd"/>
            <w:r w:rsidRPr="002F4EB7">
              <w:rPr>
                <w:sz w:val="24"/>
              </w:rPr>
              <w:t xml:space="preserve">, ka </w:t>
            </w:r>
            <w:proofErr w:type="spellStart"/>
            <w:r w:rsidRPr="002F4EB7">
              <w:rPr>
                <w:sz w:val="24"/>
              </w:rPr>
              <w:t>iepirkuma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priekšmeta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realizācijai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ir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svarīga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atbilstība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nolikuma</w:t>
            </w:r>
            <w:proofErr w:type="spellEnd"/>
            <w:r w:rsidR="00814E3C" w:rsidRPr="002F4EB7">
              <w:rPr>
                <w:sz w:val="24"/>
              </w:rPr>
              <w:t xml:space="preserve"> </w:t>
            </w:r>
            <w:proofErr w:type="gramStart"/>
            <w:r w:rsidR="00814E3C" w:rsidRPr="002F4EB7">
              <w:rPr>
                <w:sz w:val="24"/>
              </w:rPr>
              <w:t>1.pielikuma</w:t>
            </w:r>
            <w:proofErr w:type="gramEnd"/>
            <w:r w:rsidRPr="002F4EB7">
              <w:rPr>
                <w:sz w:val="24"/>
              </w:rPr>
              <w:t xml:space="preserve"> </w:t>
            </w:r>
            <w:r w:rsidR="00814E3C" w:rsidRPr="002F4EB7">
              <w:rPr>
                <w:sz w:val="24"/>
              </w:rPr>
              <w:t>5.1. un 1.9.18</w:t>
            </w:r>
            <w:r w:rsidRPr="002F4EB7">
              <w:rPr>
                <w:sz w:val="24"/>
              </w:rPr>
              <w:t xml:space="preserve">., bet </w:t>
            </w:r>
            <w:proofErr w:type="spellStart"/>
            <w:r w:rsidRPr="002F4EB7">
              <w:rPr>
                <w:sz w:val="24"/>
              </w:rPr>
              <w:t>nolikuma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gramStart"/>
            <w:r w:rsidR="00814E3C" w:rsidRPr="002F4EB7">
              <w:rPr>
                <w:sz w:val="24"/>
              </w:rPr>
              <w:t>1.pielikuma</w:t>
            </w:r>
            <w:proofErr w:type="gramEnd"/>
            <w:r w:rsidR="00814E3C" w:rsidRPr="002F4EB7">
              <w:rPr>
                <w:sz w:val="24"/>
              </w:rPr>
              <w:t xml:space="preserve"> 5.2</w:t>
            </w:r>
            <w:r w:rsidRPr="002F4EB7">
              <w:rPr>
                <w:sz w:val="24"/>
              </w:rPr>
              <w:t>. un 1.</w:t>
            </w:r>
            <w:r w:rsidR="00814E3C" w:rsidRPr="002F4EB7">
              <w:rPr>
                <w:sz w:val="24"/>
              </w:rPr>
              <w:t>9</w:t>
            </w:r>
            <w:r w:rsidRPr="002F4EB7">
              <w:rPr>
                <w:sz w:val="24"/>
              </w:rPr>
              <w:t>.</w:t>
            </w:r>
            <w:proofErr w:type="gramStart"/>
            <w:r w:rsidRPr="002F4EB7">
              <w:rPr>
                <w:sz w:val="24"/>
              </w:rPr>
              <w:t>1</w:t>
            </w:r>
            <w:r w:rsidR="00814E3C" w:rsidRPr="002F4EB7">
              <w:rPr>
                <w:sz w:val="24"/>
              </w:rPr>
              <w:t>9</w:t>
            </w:r>
            <w:r w:rsidRPr="002F4EB7">
              <w:rPr>
                <w:sz w:val="24"/>
              </w:rPr>
              <w:t>.punktu</w:t>
            </w:r>
            <w:proofErr w:type="gram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augstās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prasības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izslēdz</w:t>
            </w:r>
            <w:proofErr w:type="spellEnd"/>
            <w:r w:rsidRPr="002F4EB7">
              <w:rPr>
                <w:sz w:val="24"/>
              </w:rPr>
              <w:t xml:space="preserve"> no </w:t>
            </w:r>
            <w:proofErr w:type="spellStart"/>
            <w:r w:rsidRPr="002F4EB7">
              <w:rPr>
                <w:sz w:val="24"/>
              </w:rPr>
              <w:t>dalības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iepirkumā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vairākus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būvuzņēmējus</w:t>
            </w:r>
            <w:proofErr w:type="spellEnd"/>
            <w:r w:rsidRPr="002F4EB7">
              <w:rPr>
                <w:sz w:val="24"/>
              </w:rPr>
              <w:t xml:space="preserve">, kas nav </w:t>
            </w:r>
            <w:proofErr w:type="spellStart"/>
            <w:r w:rsidRPr="002F4EB7">
              <w:rPr>
                <w:sz w:val="24"/>
              </w:rPr>
              <w:t>objektīvi</w:t>
            </w:r>
            <w:proofErr w:type="spellEnd"/>
            <w:r w:rsidRPr="002F4EB7">
              <w:rPr>
                <w:sz w:val="24"/>
              </w:rPr>
              <w:t xml:space="preserve"> un </w:t>
            </w:r>
            <w:proofErr w:type="spellStart"/>
            <w:r w:rsidRPr="002F4EB7">
              <w:rPr>
                <w:sz w:val="24"/>
              </w:rPr>
              <w:t>mazina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brīvu</w:t>
            </w:r>
            <w:proofErr w:type="spellEnd"/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sz w:val="24"/>
              </w:rPr>
              <w:t>konkurenci</w:t>
            </w:r>
            <w:proofErr w:type="spellEnd"/>
            <w:r w:rsidRPr="002F4EB7">
              <w:rPr>
                <w:sz w:val="24"/>
              </w:rPr>
              <w:t>.</w:t>
            </w:r>
          </w:p>
          <w:p w14:paraId="4AB6CF42" w14:textId="77777777" w:rsidR="00717CD6" w:rsidRPr="002F4EB7" w:rsidRDefault="00717CD6" w:rsidP="00484C5C">
            <w:pPr>
              <w:rPr>
                <w:sz w:val="24"/>
              </w:rPr>
            </w:pPr>
          </w:p>
        </w:tc>
        <w:tc>
          <w:tcPr>
            <w:tcW w:w="4395" w:type="dxa"/>
          </w:tcPr>
          <w:p w14:paraId="623A02A6" w14:textId="005545C5" w:rsidR="00717CD6" w:rsidRPr="002F4EB7" w:rsidRDefault="00717CD6" w:rsidP="00484C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Skaidrojam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, ka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Pasūtītājs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nevar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no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nolikuma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izslēgt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400C4" w:rsidRPr="002F4EB7">
              <w:rPr>
                <w:sz w:val="24"/>
              </w:rPr>
              <w:t>1.pielikuma</w:t>
            </w:r>
            <w:proofErr w:type="gramEnd"/>
            <w:r w:rsidR="007400C4" w:rsidRPr="002F4EB7">
              <w:rPr>
                <w:sz w:val="24"/>
              </w:rPr>
              <w:t xml:space="preserve"> 5.2. un 1.9.19. </w:t>
            </w:r>
            <w:proofErr w:type="spellStart"/>
            <w:r w:rsidR="007400C4" w:rsidRPr="002F4EB7">
              <w:rPr>
                <w:sz w:val="24"/>
              </w:rPr>
              <w:t>punktus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, jo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tajos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minētās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prasības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regulē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spēkā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esošie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normatīvie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akti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668474D1" w14:textId="77777777" w:rsidR="00717CD6" w:rsidRPr="002F4EB7" w:rsidRDefault="00717CD6" w:rsidP="00484C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Saskaņā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ar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Dzelzceļa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likuma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35.</w:t>
            </w:r>
            <w:r w:rsidRPr="002F4EB7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panta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pirmo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daļu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2F4EB7">
              <w:rPr>
                <w:sz w:val="24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personām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, kas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dzelzceļa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pārvaldītāja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uzdevumā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nodrošina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attiecīgos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tehnoloģisko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procesus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dzelzceļa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infrastruktūras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tehniskā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aprīkojuma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būvniecību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remontu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vai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tehnisko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apkopi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jāsaņem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drošības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apliecība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02825FF4" w14:textId="77777777" w:rsidR="00717CD6" w:rsidRPr="002F4EB7" w:rsidRDefault="00717CD6" w:rsidP="00484C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Saskaņā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ar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Ministru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kabineta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2011.gada </w:t>
            </w:r>
            <w:proofErr w:type="gramStart"/>
            <w:r w:rsidRPr="002F4EB7">
              <w:rPr>
                <w:rFonts w:eastAsia="Calibri"/>
                <w:sz w:val="24"/>
                <w:szCs w:val="24"/>
                <w:lang w:eastAsia="en-US"/>
              </w:rPr>
              <w:t>18.janvāra</w:t>
            </w:r>
            <w:proofErr w:type="gram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noteikumu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Nr.57 “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Noteikumi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par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drošības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apliecības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izsniegšanas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darbības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apturēšanas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un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anulēšanas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kritērijiem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un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kārtību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>” 9.punktu “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Komersants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, kas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veic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dzelzceļa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infrastruktūras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tehniskā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aprīkojuma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būvniecību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remontu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vai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tehnisko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apkopi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saņem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drošības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apliecību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, ja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ir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izveidojis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sistēmu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, kas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spēj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nodrošināt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tā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darbību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attiecīgajā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komercdarbības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jomā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dzelzceļa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nozarē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saskaņā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ar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dzelzceļa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drošības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EB7">
              <w:rPr>
                <w:rFonts w:eastAsia="Calibri"/>
                <w:sz w:val="24"/>
                <w:szCs w:val="24"/>
                <w:lang w:eastAsia="en-US"/>
              </w:rPr>
              <w:t>prasībām</w:t>
            </w:r>
            <w:proofErr w:type="spellEnd"/>
            <w:r w:rsidRPr="002F4EB7">
              <w:rPr>
                <w:rFonts w:eastAsia="Calibri"/>
                <w:sz w:val="24"/>
                <w:szCs w:val="24"/>
                <w:lang w:eastAsia="en-US"/>
              </w:rPr>
              <w:t>.”</w:t>
            </w:r>
          </w:p>
        </w:tc>
      </w:tr>
    </w:tbl>
    <w:p w14:paraId="65AE3A26" w14:textId="77777777" w:rsidR="00717CD6" w:rsidRDefault="00717CD6" w:rsidP="00717CD6">
      <w:pPr>
        <w:ind w:left="-284" w:right="282"/>
        <w:jc w:val="center"/>
        <w:rPr>
          <w:b/>
          <w:sz w:val="24"/>
        </w:rPr>
      </w:pPr>
    </w:p>
    <w:p w14:paraId="67F9AD3A" w14:textId="77777777" w:rsidR="00717CD6" w:rsidRDefault="00717CD6" w:rsidP="00717CD6">
      <w:pPr>
        <w:ind w:left="-284" w:right="282"/>
        <w:jc w:val="center"/>
        <w:rPr>
          <w:b/>
          <w:sz w:val="24"/>
        </w:rPr>
      </w:pPr>
    </w:p>
    <w:p w14:paraId="707779B6" w14:textId="77777777" w:rsidR="00717CD6" w:rsidRDefault="00717CD6" w:rsidP="00717CD6">
      <w:pPr>
        <w:ind w:left="-284" w:right="282"/>
        <w:jc w:val="center"/>
        <w:rPr>
          <w:b/>
          <w:sz w:val="24"/>
        </w:rPr>
      </w:pPr>
    </w:p>
    <w:p w14:paraId="19E508D3" w14:textId="71499EB6" w:rsidR="00C45BF1" w:rsidRPr="007B4245" w:rsidRDefault="00C45BF1" w:rsidP="00717CD6">
      <w:pPr>
        <w:rPr>
          <w:lang w:val="lv-LV"/>
        </w:rPr>
      </w:pPr>
    </w:p>
    <w:sectPr w:rsidR="00C45BF1" w:rsidRPr="007B4245" w:rsidSect="00A70187">
      <w:footerReference w:type="default" r:id="rId7"/>
      <w:pgSz w:w="11906" w:h="16838"/>
      <w:pgMar w:top="993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284F7" w14:textId="77777777" w:rsidR="00D86896" w:rsidRDefault="00D86896" w:rsidP="004B1251">
      <w:r>
        <w:separator/>
      </w:r>
    </w:p>
  </w:endnote>
  <w:endnote w:type="continuationSeparator" w:id="0">
    <w:p w14:paraId="12EFBECF" w14:textId="77777777" w:rsidR="00D86896" w:rsidRDefault="00D86896" w:rsidP="004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0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3C64C" w14:textId="3A923476" w:rsidR="004B1251" w:rsidRPr="004B1251" w:rsidRDefault="004B1251">
        <w:pPr>
          <w:pStyle w:val="Footer"/>
          <w:jc w:val="right"/>
        </w:pPr>
        <w:r w:rsidRPr="004B1251">
          <w:fldChar w:fldCharType="begin"/>
        </w:r>
        <w:r w:rsidRPr="004B1251">
          <w:instrText xml:space="preserve"> PAGE   \* MERGEFORMAT </w:instrText>
        </w:r>
        <w:r w:rsidRPr="004B1251">
          <w:fldChar w:fldCharType="separate"/>
        </w:r>
        <w:r w:rsidR="001372AA">
          <w:rPr>
            <w:noProof/>
          </w:rPr>
          <w:t>2</w:t>
        </w:r>
        <w:r w:rsidRPr="004B1251">
          <w:rPr>
            <w:noProof/>
          </w:rPr>
          <w:fldChar w:fldCharType="end"/>
        </w:r>
      </w:p>
    </w:sdtContent>
  </w:sdt>
  <w:p w14:paraId="14CB1E0A" w14:textId="77777777" w:rsidR="004B1251" w:rsidRDefault="004B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4E3B2" w14:textId="77777777" w:rsidR="00D86896" w:rsidRDefault="00D86896" w:rsidP="004B1251">
      <w:r>
        <w:separator/>
      </w:r>
    </w:p>
  </w:footnote>
  <w:footnote w:type="continuationSeparator" w:id="0">
    <w:p w14:paraId="74D119D2" w14:textId="77777777" w:rsidR="00D86896" w:rsidRDefault="00D86896" w:rsidP="004B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7BE6"/>
    <w:multiLevelType w:val="hybridMultilevel"/>
    <w:tmpl w:val="A61E5010"/>
    <w:lvl w:ilvl="0" w:tplc="C44AD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F13D5"/>
    <w:multiLevelType w:val="multilevel"/>
    <w:tmpl w:val="04F4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3E"/>
    <w:rsid w:val="00014E24"/>
    <w:rsid w:val="00023F4A"/>
    <w:rsid w:val="00027AEB"/>
    <w:rsid w:val="00034F02"/>
    <w:rsid w:val="00037C9F"/>
    <w:rsid w:val="000506A4"/>
    <w:rsid w:val="0005319E"/>
    <w:rsid w:val="00064B4D"/>
    <w:rsid w:val="00074882"/>
    <w:rsid w:val="00094F01"/>
    <w:rsid w:val="000C1BA6"/>
    <w:rsid w:val="000D265C"/>
    <w:rsid w:val="000F1A1A"/>
    <w:rsid w:val="000F26A2"/>
    <w:rsid w:val="000F323E"/>
    <w:rsid w:val="00107F71"/>
    <w:rsid w:val="00122617"/>
    <w:rsid w:val="00124A26"/>
    <w:rsid w:val="001250AA"/>
    <w:rsid w:val="001372AA"/>
    <w:rsid w:val="001478A7"/>
    <w:rsid w:val="001778C3"/>
    <w:rsid w:val="00190ED8"/>
    <w:rsid w:val="001B120F"/>
    <w:rsid w:val="001B47DF"/>
    <w:rsid w:val="001C2EB3"/>
    <w:rsid w:val="001C52AD"/>
    <w:rsid w:val="001D3A28"/>
    <w:rsid w:val="001E3412"/>
    <w:rsid w:val="00202BFA"/>
    <w:rsid w:val="00227648"/>
    <w:rsid w:val="00227F71"/>
    <w:rsid w:val="002568E5"/>
    <w:rsid w:val="0028283A"/>
    <w:rsid w:val="002A7C9A"/>
    <w:rsid w:val="002B0F91"/>
    <w:rsid w:val="002B1142"/>
    <w:rsid w:val="002E4B75"/>
    <w:rsid w:val="002F2EA9"/>
    <w:rsid w:val="002F4EB7"/>
    <w:rsid w:val="003449AF"/>
    <w:rsid w:val="00367FFD"/>
    <w:rsid w:val="003700DE"/>
    <w:rsid w:val="003737FC"/>
    <w:rsid w:val="003A5CE7"/>
    <w:rsid w:val="003D0E5B"/>
    <w:rsid w:val="003D51B9"/>
    <w:rsid w:val="003D69F8"/>
    <w:rsid w:val="003E028D"/>
    <w:rsid w:val="003F4199"/>
    <w:rsid w:val="00422D3C"/>
    <w:rsid w:val="0042446F"/>
    <w:rsid w:val="00431498"/>
    <w:rsid w:val="0043700D"/>
    <w:rsid w:val="0044664B"/>
    <w:rsid w:val="00460034"/>
    <w:rsid w:val="00464CE0"/>
    <w:rsid w:val="0047100C"/>
    <w:rsid w:val="00486AEE"/>
    <w:rsid w:val="004913A2"/>
    <w:rsid w:val="004A159A"/>
    <w:rsid w:val="004A20F5"/>
    <w:rsid w:val="004B1251"/>
    <w:rsid w:val="004B194F"/>
    <w:rsid w:val="004C741C"/>
    <w:rsid w:val="004D40FF"/>
    <w:rsid w:val="004D7465"/>
    <w:rsid w:val="004E0095"/>
    <w:rsid w:val="004F07D4"/>
    <w:rsid w:val="004F20DC"/>
    <w:rsid w:val="004F3BB7"/>
    <w:rsid w:val="004F45FE"/>
    <w:rsid w:val="00525145"/>
    <w:rsid w:val="0054163C"/>
    <w:rsid w:val="00567AA4"/>
    <w:rsid w:val="0057516F"/>
    <w:rsid w:val="005A3AF0"/>
    <w:rsid w:val="005E1120"/>
    <w:rsid w:val="005F3C35"/>
    <w:rsid w:val="005F4DA2"/>
    <w:rsid w:val="00615C19"/>
    <w:rsid w:val="00637EB6"/>
    <w:rsid w:val="00646BFE"/>
    <w:rsid w:val="00677D57"/>
    <w:rsid w:val="006948C1"/>
    <w:rsid w:val="007015CF"/>
    <w:rsid w:val="00701BEE"/>
    <w:rsid w:val="00717CD6"/>
    <w:rsid w:val="007400C4"/>
    <w:rsid w:val="00744791"/>
    <w:rsid w:val="007539F2"/>
    <w:rsid w:val="00763035"/>
    <w:rsid w:val="007654A8"/>
    <w:rsid w:val="00796017"/>
    <w:rsid w:val="007A48E3"/>
    <w:rsid w:val="007A4BFE"/>
    <w:rsid w:val="007A6C45"/>
    <w:rsid w:val="007B4245"/>
    <w:rsid w:val="007D7449"/>
    <w:rsid w:val="007E7149"/>
    <w:rsid w:val="007E76B8"/>
    <w:rsid w:val="007F0ADD"/>
    <w:rsid w:val="007F1AF6"/>
    <w:rsid w:val="00814E3C"/>
    <w:rsid w:val="008172EC"/>
    <w:rsid w:val="00820D98"/>
    <w:rsid w:val="00821EF0"/>
    <w:rsid w:val="00840E3C"/>
    <w:rsid w:val="008663F3"/>
    <w:rsid w:val="00881096"/>
    <w:rsid w:val="008B6529"/>
    <w:rsid w:val="008B740F"/>
    <w:rsid w:val="009106E1"/>
    <w:rsid w:val="00926080"/>
    <w:rsid w:val="009378AA"/>
    <w:rsid w:val="0094197D"/>
    <w:rsid w:val="00957D49"/>
    <w:rsid w:val="00967F04"/>
    <w:rsid w:val="00972739"/>
    <w:rsid w:val="0099010D"/>
    <w:rsid w:val="009B0577"/>
    <w:rsid w:val="009C5745"/>
    <w:rsid w:val="009C7677"/>
    <w:rsid w:val="009D607C"/>
    <w:rsid w:val="009F6761"/>
    <w:rsid w:val="00A04F1D"/>
    <w:rsid w:val="00A069B2"/>
    <w:rsid w:val="00A32388"/>
    <w:rsid w:val="00A43257"/>
    <w:rsid w:val="00A4391D"/>
    <w:rsid w:val="00A601BC"/>
    <w:rsid w:val="00A70187"/>
    <w:rsid w:val="00A722A3"/>
    <w:rsid w:val="00A7545E"/>
    <w:rsid w:val="00AA50B4"/>
    <w:rsid w:val="00AC622E"/>
    <w:rsid w:val="00B01C9A"/>
    <w:rsid w:val="00B025CC"/>
    <w:rsid w:val="00B0319B"/>
    <w:rsid w:val="00B14A77"/>
    <w:rsid w:val="00B221F3"/>
    <w:rsid w:val="00B23618"/>
    <w:rsid w:val="00B85BD9"/>
    <w:rsid w:val="00BA47D6"/>
    <w:rsid w:val="00BA55F6"/>
    <w:rsid w:val="00BA7B93"/>
    <w:rsid w:val="00BB692E"/>
    <w:rsid w:val="00BC0AE9"/>
    <w:rsid w:val="00BC3CA7"/>
    <w:rsid w:val="00BC6A2A"/>
    <w:rsid w:val="00BE2102"/>
    <w:rsid w:val="00BE3930"/>
    <w:rsid w:val="00BF1ABD"/>
    <w:rsid w:val="00BF1EA1"/>
    <w:rsid w:val="00C01843"/>
    <w:rsid w:val="00C1523B"/>
    <w:rsid w:val="00C17299"/>
    <w:rsid w:val="00C27624"/>
    <w:rsid w:val="00C377AE"/>
    <w:rsid w:val="00C44539"/>
    <w:rsid w:val="00C45BF1"/>
    <w:rsid w:val="00C60987"/>
    <w:rsid w:val="00C669AC"/>
    <w:rsid w:val="00C802B8"/>
    <w:rsid w:val="00C81686"/>
    <w:rsid w:val="00C866C1"/>
    <w:rsid w:val="00C972FC"/>
    <w:rsid w:val="00C97AF9"/>
    <w:rsid w:val="00CB2A23"/>
    <w:rsid w:val="00CC2350"/>
    <w:rsid w:val="00CD12FE"/>
    <w:rsid w:val="00CE2D1F"/>
    <w:rsid w:val="00CF7FFC"/>
    <w:rsid w:val="00D05435"/>
    <w:rsid w:val="00D31D34"/>
    <w:rsid w:val="00D376F8"/>
    <w:rsid w:val="00D43617"/>
    <w:rsid w:val="00D61649"/>
    <w:rsid w:val="00D61AC0"/>
    <w:rsid w:val="00D65A7F"/>
    <w:rsid w:val="00D74ED6"/>
    <w:rsid w:val="00D80648"/>
    <w:rsid w:val="00D86896"/>
    <w:rsid w:val="00D90912"/>
    <w:rsid w:val="00DB369A"/>
    <w:rsid w:val="00DB5B4E"/>
    <w:rsid w:val="00DC7874"/>
    <w:rsid w:val="00E0633E"/>
    <w:rsid w:val="00E34C60"/>
    <w:rsid w:val="00E459D7"/>
    <w:rsid w:val="00E57A63"/>
    <w:rsid w:val="00E70A29"/>
    <w:rsid w:val="00E852DD"/>
    <w:rsid w:val="00E860E3"/>
    <w:rsid w:val="00ED28E0"/>
    <w:rsid w:val="00ED4505"/>
    <w:rsid w:val="00EF5C28"/>
    <w:rsid w:val="00EF6034"/>
    <w:rsid w:val="00F05B3C"/>
    <w:rsid w:val="00F16173"/>
    <w:rsid w:val="00F210C8"/>
    <w:rsid w:val="00F26D9E"/>
    <w:rsid w:val="00F26E38"/>
    <w:rsid w:val="00F37C4F"/>
    <w:rsid w:val="00F55AEA"/>
    <w:rsid w:val="00F66D20"/>
    <w:rsid w:val="00F72161"/>
    <w:rsid w:val="00F93CBB"/>
    <w:rsid w:val="00F97D93"/>
    <w:rsid w:val="00FC7EF1"/>
    <w:rsid w:val="00FE7425"/>
    <w:rsid w:val="00FF1AA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77589"/>
  <w15:docId w15:val="{35E78941-AFC1-478B-996A-2BB6237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4B1251"/>
    <w:pPr>
      <w:keepNext/>
      <w:outlineLvl w:val="0"/>
    </w:pPr>
    <w:rPr>
      <w:sz w:val="24"/>
      <w:lang w:val="lv-LV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1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Title">
    <w:name w:val="Title"/>
    <w:basedOn w:val="Normal"/>
    <w:link w:val="TitleChar"/>
    <w:qFormat/>
    <w:rsid w:val="004B1251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4B1251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4B1251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4B1251"/>
    <w:pPr>
      <w:ind w:firstLine="540"/>
      <w:jc w:val="both"/>
    </w:pPr>
    <w:rPr>
      <w:sz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B1251"/>
    <w:pPr>
      <w:ind w:left="720"/>
      <w:contextualSpacing/>
    </w:pPr>
  </w:style>
  <w:style w:type="paragraph" w:customStyle="1" w:styleId="BodyText21">
    <w:name w:val="Body Text 21"/>
    <w:basedOn w:val="Normal"/>
    <w:link w:val="BodyText21Char"/>
    <w:rsid w:val="004B1251"/>
    <w:pPr>
      <w:jc w:val="both"/>
    </w:pPr>
    <w:rPr>
      <w:sz w:val="24"/>
      <w:lang w:val="lv-LV" w:eastAsia="en-US"/>
    </w:rPr>
  </w:style>
  <w:style w:type="character" w:customStyle="1" w:styleId="BodyText21Char">
    <w:name w:val="Body Text 21 Char"/>
    <w:link w:val="BodyText21"/>
    <w:locked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1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ield-content5">
    <w:name w:val="field-content5"/>
    <w:basedOn w:val="DefaultParagraphFont"/>
    <w:rsid w:val="00422D3C"/>
  </w:style>
  <w:style w:type="paragraph" w:styleId="BalloonText">
    <w:name w:val="Balloon Text"/>
    <w:basedOn w:val="Normal"/>
    <w:link w:val="BalloonTextChar"/>
    <w:uiPriority w:val="99"/>
    <w:semiHidden/>
    <w:unhideWhenUsed/>
    <w:rsid w:val="0088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96"/>
    <w:rPr>
      <w:rFonts w:ascii="Segoe UI" w:eastAsia="Times New Roman" w:hAnsi="Segoe UI" w:cs="Segoe UI"/>
      <w:sz w:val="18"/>
      <w:szCs w:val="18"/>
      <w:lang w:val="en-US" w:eastAsia="lv-LV"/>
    </w:rPr>
  </w:style>
  <w:style w:type="paragraph" w:customStyle="1" w:styleId="Nos2">
    <w:name w:val="Nos2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semiHidden/>
    <w:unhideWhenUsed/>
    <w:rsid w:val="00525145"/>
    <w:rPr>
      <w:strike w:val="0"/>
      <w:dstrike w:val="0"/>
      <w:color w:val="940026"/>
      <w:u w:val="none"/>
      <w:effect w:val="none"/>
    </w:rPr>
  </w:style>
  <w:style w:type="character" w:customStyle="1" w:styleId="lineage-item">
    <w:name w:val="lineage-item"/>
    <w:rsid w:val="00525145"/>
  </w:style>
  <w:style w:type="character" w:customStyle="1" w:styleId="Heading3Char">
    <w:name w:val="Heading 3 Char"/>
    <w:basedOn w:val="DefaultParagraphFont"/>
    <w:link w:val="Heading3"/>
    <w:uiPriority w:val="9"/>
    <w:semiHidden/>
    <w:rsid w:val="0052514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A47D6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7100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D6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F8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F8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table" w:styleId="TableGrid">
    <w:name w:val="Table Grid"/>
    <w:basedOn w:val="TableNormal"/>
    <w:uiPriority w:val="39"/>
    <w:rsid w:val="00717CD6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Kempa</dc:creator>
  <cp:lastModifiedBy>Kristaps Nusbergs</cp:lastModifiedBy>
  <cp:revision>13</cp:revision>
  <cp:lastPrinted>2019-05-17T04:48:00Z</cp:lastPrinted>
  <dcterms:created xsi:type="dcterms:W3CDTF">2019-06-14T08:18:00Z</dcterms:created>
  <dcterms:modified xsi:type="dcterms:W3CDTF">2019-06-28T03:59:00Z</dcterms:modified>
</cp:coreProperties>
</file>