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3C" w:rsidRPr="00FC29CF" w:rsidRDefault="009D403C" w:rsidP="009D403C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03C" w:rsidRPr="004E7266" w:rsidRDefault="000C125B" w:rsidP="000C125B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APSTIPRINĀTS</w:t>
      </w:r>
    </w:p>
    <w:p w:rsidR="000C125B" w:rsidRDefault="009D403C" w:rsidP="000C125B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</w:p>
    <w:p w:rsidR="009D403C" w:rsidRPr="00EF78AF" w:rsidRDefault="009D403C" w:rsidP="000C125B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eastAsia="Arial Unicode MS" w:hAnsi="Times New Roman" w:cs="Times New Roman"/>
          <w:i/>
          <w:sz w:val="24"/>
        </w:rPr>
        <w:t>20</w:t>
      </w:r>
      <w:r w:rsidR="00870787">
        <w:rPr>
          <w:rFonts w:ascii="Times New Roman" w:eastAsia="Arial Unicode MS" w:hAnsi="Times New Roman" w:cs="Times New Roman"/>
          <w:i/>
          <w:sz w:val="24"/>
        </w:rPr>
        <w:t>20.</w:t>
      </w:r>
      <w:r w:rsidRPr="004E726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870787">
        <w:rPr>
          <w:rFonts w:ascii="Times New Roman" w:eastAsia="Arial Unicode MS" w:hAnsi="Times New Roman" w:cs="Times New Roman"/>
          <w:i/>
          <w:sz w:val="24"/>
        </w:rPr>
        <w:t xml:space="preserve">14.februāra </w:t>
      </w:r>
      <w:r w:rsidRPr="00EF78AF">
        <w:rPr>
          <w:rFonts w:ascii="Times New Roman" w:eastAsia="Arial Unicode MS" w:hAnsi="Times New Roman" w:cs="Times New Roman"/>
          <w:i/>
          <w:sz w:val="24"/>
        </w:rPr>
        <w:t xml:space="preserve">sēdes </w:t>
      </w:r>
      <w:r w:rsidR="000C125B">
        <w:rPr>
          <w:rFonts w:ascii="Times New Roman" w:eastAsia="Arial Unicode MS" w:hAnsi="Times New Roman" w:cs="Times New Roman"/>
          <w:i/>
          <w:sz w:val="24"/>
        </w:rPr>
        <w:t>2.</w:t>
      </w:r>
      <w:r w:rsidRPr="00EF78AF">
        <w:rPr>
          <w:rFonts w:ascii="Times New Roman" w:eastAsia="Arial Unicode MS" w:hAnsi="Times New Roman" w:cs="Times New Roman"/>
          <w:i/>
          <w:sz w:val="24"/>
        </w:rPr>
        <w:t xml:space="preserve">protokolu </w:t>
      </w:r>
    </w:p>
    <w:p w:rsidR="009D403C" w:rsidRPr="00FC29CF" w:rsidRDefault="009D403C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3C" w:rsidRPr="00FC29CF" w:rsidRDefault="009D403C" w:rsidP="009D403C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46" w:rsidRPr="00870787" w:rsidRDefault="00C03F46" w:rsidP="00C03F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</w:t>
      </w:r>
      <w:r w:rsidRPr="000C12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” </w:t>
      </w:r>
    </w:p>
    <w:p w:rsidR="00C03F46" w:rsidRPr="00870787" w:rsidRDefault="00C03F46" w:rsidP="00C03F46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07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:rsidR="008651DE" w:rsidRPr="00870787" w:rsidRDefault="008651DE" w:rsidP="000C125B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07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  <w:bookmarkStart w:id="0" w:name="_Hlk31964567"/>
      <w:r w:rsidR="00870787" w:rsidRPr="00870787">
        <w:rPr>
          <w:rFonts w:ascii="Times New Roman" w:hAnsi="Times New Roman" w:cs="Times New Roman"/>
          <w:b/>
          <w:sz w:val="24"/>
          <w:szCs w:val="24"/>
        </w:rPr>
        <w:t xml:space="preserve">CATERPILLAR 3512C HD dīzeļdzinēju rezerves daļu piegāde </w:t>
      </w:r>
      <w:r w:rsidR="00870787" w:rsidRPr="00870787">
        <w:rPr>
          <w:rFonts w:ascii="Times New Roman" w:hAnsi="Times New Roman" w:cs="Times New Roman"/>
          <w:b/>
          <w:spacing w:val="-2"/>
          <w:sz w:val="24"/>
          <w:szCs w:val="24"/>
        </w:rPr>
        <w:t>SIA “LDZ ritošā sastāva serviss” vajadzībām</w:t>
      </w:r>
      <w:bookmarkEnd w:id="0"/>
      <w:r w:rsidRPr="008707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C03F46" w:rsidRPr="008651DE" w:rsidRDefault="00C03F46" w:rsidP="008651D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3F46" w:rsidRPr="00C03F46" w:rsidRDefault="00C03F46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Calibri" w:hAnsi="Times New Roman" w:cs="Times New Roman"/>
          <w:b/>
          <w:sz w:val="24"/>
        </w:rPr>
        <w:t>SKAIDROJUMS Nr.</w:t>
      </w:r>
      <w:r w:rsidR="000C125B">
        <w:rPr>
          <w:rFonts w:ascii="Times New Roman" w:eastAsia="Calibri" w:hAnsi="Times New Roman" w:cs="Times New Roman"/>
          <w:b/>
          <w:sz w:val="24"/>
        </w:rPr>
        <w:t>1</w:t>
      </w:r>
    </w:p>
    <w:p w:rsidR="009D403C" w:rsidRPr="00FC29CF" w:rsidRDefault="009D403C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 w:rsidRPr="00FC29CF">
        <w:rPr>
          <w:b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678"/>
        <w:gridCol w:w="4111"/>
      </w:tblGrid>
      <w:tr w:rsidR="008374E0" w:rsidRPr="00FC29CF" w:rsidTr="00247DBB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9D403C" w:rsidRPr="00FC29CF" w:rsidRDefault="009D403C" w:rsidP="001F12C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9D403C" w:rsidRPr="00FC29CF" w:rsidRDefault="009D403C" w:rsidP="001F12C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:rsidR="009D403C" w:rsidRPr="00FC29CF" w:rsidRDefault="009D403C" w:rsidP="001F12CF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</w:t>
            </w:r>
            <w:r w:rsidR="008651DE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ms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9D403C" w:rsidRPr="00FC29CF" w:rsidRDefault="009D403C" w:rsidP="001F12CF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</w:t>
            </w:r>
          </w:p>
        </w:tc>
      </w:tr>
      <w:tr w:rsidR="000C125B" w:rsidRPr="00FC29CF" w:rsidTr="00247DBB">
        <w:trPr>
          <w:trHeight w:val="1102"/>
        </w:trPr>
        <w:tc>
          <w:tcPr>
            <w:tcW w:w="704" w:type="dxa"/>
          </w:tcPr>
          <w:p w:rsidR="000C125B" w:rsidRPr="00870787" w:rsidRDefault="000C125B" w:rsidP="000C125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078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678" w:type="dxa"/>
          </w:tcPr>
          <w:p w:rsidR="00870787" w:rsidRPr="00870787" w:rsidRDefault="00870787" w:rsidP="00870787">
            <w:pPr>
              <w:rPr>
                <w:rFonts w:ascii="Times New Roman" w:hAnsi="Times New Roman" w:cs="Times New Roman"/>
                <w:color w:val="14283C"/>
                <w:lang w:val="ru-RU"/>
              </w:rPr>
            </w:pPr>
            <w:r w:rsidRPr="00870787">
              <w:rPr>
                <w:rFonts w:ascii="Times New Roman" w:hAnsi="Times New Roman" w:cs="Times New Roman"/>
                <w:color w:val="14283C"/>
                <w:lang w:val="ru-RU"/>
              </w:rPr>
              <w:t xml:space="preserve">Пожалуйста уточните, правильно ли я понимаю, что тендерное предложение можно подавать на русском либо английском языке и в таком случае перевод на латышский не обязателен? </w:t>
            </w: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</w:pPr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1.7.3.    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piedāvājumu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iesniedz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cauršūtu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vai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caurauklotu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rakstveidā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latviešu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(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vai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angļu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,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krievu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)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valodā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vai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citā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valodā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,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pievienojot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tulkojumu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latviešu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valodā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.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Par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dokumentu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tulkojuma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atbilstību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oriģinālam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atbild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pretendents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.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Piedāvājuma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nodrošinājuma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atsevišķos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iesniegšanas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noteikumus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skat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.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>nolikuma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  <w:lang w:val="ru-RU"/>
              </w:rPr>
              <w:t xml:space="preserve"> 1.7.4. p.;</w:t>
            </w: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color w:val="14283C"/>
                <w:lang w:val="ru-RU"/>
              </w:rPr>
            </w:pP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color w:val="14283C"/>
                <w:lang w:val="ru-RU"/>
              </w:rPr>
            </w:pPr>
            <w:proofErr w:type="gramStart"/>
            <w:r w:rsidRPr="00870787">
              <w:rPr>
                <w:rFonts w:ascii="Times New Roman" w:hAnsi="Times New Roman" w:cs="Times New Roman"/>
                <w:color w:val="14283C"/>
                <w:lang w:val="ru-RU"/>
              </w:rPr>
              <w:t>Если верно</w:t>
            </w:r>
            <w:proofErr w:type="gramEnd"/>
            <w:r w:rsidRPr="00870787">
              <w:rPr>
                <w:rFonts w:ascii="Times New Roman" w:hAnsi="Times New Roman" w:cs="Times New Roman"/>
                <w:color w:val="14283C"/>
                <w:lang w:val="ru-RU"/>
              </w:rPr>
              <w:t xml:space="preserve">, то </w:t>
            </w:r>
            <w:proofErr w:type="spellStart"/>
            <w:r w:rsidRPr="00870787">
              <w:rPr>
                <w:rFonts w:ascii="Times New Roman" w:hAnsi="Times New Roman" w:cs="Times New Roman"/>
                <w:color w:val="14283C"/>
                <w:lang w:val="ru-RU"/>
              </w:rPr>
              <w:t>возможо</w:t>
            </w:r>
            <w:proofErr w:type="spellEnd"/>
            <w:r w:rsidRPr="00870787">
              <w:rPr>
                <w:rFonts w:ascii="Times New Roman" w:hAnsi="Times New Roman" w:cs="Times New Roman"/>
                <w:color w:val="14283C"/>
                <w:lang w:val="ru-RU"/>
              </w:rPr>
              <w:t xml:space="preserve"> есть также тендерная документация на русском или английском языке?</w:t>
            </w: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color w:val="14283C"/>
                <w:lang w:val="ru-RU"/>
              </w:rPr>
            </w:pP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color w:val="14283C"/>
              </w:rPr>
            </w:pPr>
            <w:r w:rsidRPr="00870787">
              <w:rPr>
                <w:rFonts w:ascii="Times New Roman" w:hAnsi="Times New Roman" w:cs="Times New Roman"/>
                <w:b/>
                <w:color w:val="14283C"/>
              </w:rPr>
              <w:t xml:space="preserve">IEPIRKUMA KOMISIJAS </w:t>
            </w:r>
            <w:r>
              <w:rPr>
                <w:rFonts w:ascii="Times New Roman" w:hAnsi="Times New Roman" w:cs="Times New Roman"/>
                <w:b/>
                <w:color w:val="14283C"/>
              </w:rPr>
              <w:t xml:space="preserve">IESNIEGTĀ INFORMĀCIJAS PIEPRASĪJUMA </w:t>
            </w:r>
            <w:r w:rsidRPr="00870787">
              <w:rPr>
                <w:rFonts w:ascii="Times New Roman" w:hAnsi="Times New Roman" w:cs="Times New Roman"/>
                <w:b/>
                <w:color w:val="14283C"/>
              </w:rPr>
              <w:t>NEOFICIĀLAIS TULKOJUMS</w:t>
            </w:r>
            <w:r w:rsidRPr="00870787">
              <w:rPr>
                <w:rFonts w:ascii="Times New Roman" w:hAnsi="Times New Roman" w:cs="Times New Roman"/>
                <w:color w:val="14283C"/>
              </w:rPr>
              <w:t>:</w:t>
            </w: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color w:val="14283C"/>
              </w:rPr>
            </w:pPr>
            <w:r w:rsidRPr="00870787">
              <w:rPr>
                <w:rFonts w:ascii="Times New Roman" w:hAnsi="Times New Roman" w:cs="Times New Roman"/>
                <w:color w:val="14283C"/>
              </w:rPr>
              <w:t>Lūdzu precizējiet, vai pareizi saprotu, ka piedāvājumu var iesniegt krievu vai angļu valodā, tādā gadījumā – tulkojums latviski nav nepieciešams?</w:t>
            </w:r>
          </w:p>
          <w:p w:rsidR="00870787" w:rsidRPr="00870787" w:rsidRDefault="00870787" w:rsidP="00870787">
            <w:pPr>
              <w:rPr>
                <w:rFonts w:ascii="Times New Roman" w:hAnsi="Times New Roman" w:cs="Times New Roman"/>
                <w:i/>
                <w:iCs/>
                <w:color w:val="14283C"/>
              </w:rPr>
            </w:pPr>
            <w:r w:rsidRPr="00870787">
              <w:rPr>
                <w:rFonts w:ascii="Times New Roman" w:hAnsi="Times New Roman" w:cs="Times New Roman"/>
                <w:i/>
                <w:iCs/>
                <w:color w:val="14283C"/>
              </w:rPr>
              <w:t xml:space="preserve">1.7.3.     piedāvājumu iesniedz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</w:rPr>
              <w:t>cauršūtu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</w:rPr>
              <w:t xml:space="preserve"> vai caurauklotu </w:t>
            </w:r>
            <w:proofErr w:type="spellStart"/>
            <w:r w:rsidRPr="00870787">
              <w:rPr>
                <w:rFonts w:ascii="Times New Roman" w:hAnsi="Times New Roman" w:cs="Times New Roman"/>
                <w:i/>
                <w:iCs/>
                <w:color w:val="14283C"/>
              </w:rPr>
              <w:t>rakstveidā</w:t>
            </w:r>
            <w:proofErr w:type="spellEnd"/>
            <w:r w:rsidRPr="00870787">
              <w:rPr>
                <w:rFonts w:ascii="Times New Roman" w:hAnsi="Times New Roman" w:cs="Times New Roman"/>
                <w:i/>
                <w:iCs/>
                <w:color w:val="14283C"/>
              </w:rPr>
              <w:t xml:space="preserve"> latviešu (vai angļu, krievu) valodā vai citā valodā, pievienojot tulkojumu latviešu valodā. Par dokumentu tulkojuma atbilstību oriģinālam atbild pretendents. Piedāvājuma nodrošinājuma atsevišķos iesniegšanas noteikumus skat. nolikuma 1.7.4. p.;</w:t>
            </w:r>
          </w:p>
          <w:p w:rsidR="000C125B" w:rsidRPr="00870787" w:rsidRDefault="00870787" w:rsidP="000C125B">
            <w:pPr>
              <w:rPr>
                <w:rFonts w:ascii="Times New Roman" w:hAnsi="Times New Roman" w:cs="Times New Roman"/>
              </w:rPr>
            </w:pPr>
            <w:r w:rsidRPr="00870787">
              <w:rPr>
                <w:rFonts w:ascii="Times New Roman" w:hAnsi="Times New Roman" w:cs="Times New Roman"/>
              </w:rPr>
              <w:t>Ja tā ir, vai iepirkuma dokumentācija ir pieejami krievu vai angļu valodā?</w:t>
            </w:r>
          </w:p>
          <w:p w:rsidR="00870787" w:rsidRPr="00870787" w:rsidRDefault="00870787" w:rsidP="000C1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C125B" w:rsidRDefault="00870787" w:rsidP="000C125B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Vēršot ieinteresētā piegādātāja uzmanību, ka informācijas</w:t>
            </w:r>
            <w:r w:rsidR="009C3CC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51642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aprite tiek nodrošināta </w:t>
            </w:r>
            <w:r w:rsidR="009C3CC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/ </w:t>
            </w:r>
            <w:r w:rsidR="00255871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visi nepieciešamie </w:t>
            </w:r>
            <w:r w:rsidR="009C3CCC">
              <w:rPr>
                <w:rFonts w:ascii="Times New Roman" w:eastAsia="Calibri" w:hAnsi="Times New Roman" w:cs="Times New Roman"/>
                <w:szCs w:val="24"/>
                <w:lang w:eastAsia="en-US"/>
              </w:rPr>
              <w:t>sarunu procedūras pras</w:t>
            </w:r>
            <w:bookmarkStart w:id="1" w:name="_GoBack"/>
            <w:bookmarkEnd w:id="1"/>
            <w:r w:rsidR="009C3CCC">
              <w:rPr>
                <w:rFonts w:ascii="Times New Roman" w:eastAsia="Calibri" w:hAnsi="Times New Roman" w:cs="Times New Roman"/>
                <w:szCs w:val="24"/>
                <w:lang w:eastAsia="en-US"/>
              </w:rPr>
              <w:t>ību skaidrojumu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pieprasījumi iepirkuma ietvaros iesniedzami valsts valodā un to, ka šī iesniegtā informācijas pieprasījuma</w:t>
            </w:r>
            <w:r w:rsidR="009C3CC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krievu valodā</w:t>
            </w:r>
            <w:r w:rsidR="0051642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iepirkuma komisijas veiktais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tulkojums ir uzskatāms par neoficiālu, sniedzam šādu skaidrojumu:</w:t>
            </w:r>
          </w:p>
          <w:p w:rsidR="00870787" w:rsidRDefault="00870787" w:rsidP="00870787">
            <w:pPr>
              <w:rPr>
                <w:rFonts w:eastAsia="Calibri"/>
                <w:szCs w:val="24"/>
                <w:lang w:eastAsia="en-US"/>
              </w:rPr>
            </w:pPr>
          </w:p>
          <w:p w:rsidR="009C3CCC" w:rsidRDefault="009C3CCC" w:rsidP="009C3CCC">
            <w:pPr>
              <w:rPr>
                <w:rFonts w:ascii="Times New Roman" w:hAnsi="Times New Roman" w:cs="Times New Roman"/>
                <w:iCs/>
                <w:color w:val="14283C"/>
                <w:u w:val="single"/>
              </w:rPr>
            </w:pPr>
            <w:r w:rsidRPr="009C3CC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Sarunu procedūras nolikuma 1.7.3. punkts nosaka, ka </w:t>
            </w:r>
            <w:r w:rsidRPr="009C3CCC">
              <w:rPr>
                <w:rFonts w:ascii="Times New Roman" w:hAnsi="Times New Roman" w:cs="Times New Roman"/>
                <w:iCs/>
                <w:color w:val="14283C"/>
              </w:rPr>
              <w:t xml:space="preserve">piedāvājumu iesniedz (..) latviešu vai </w:t>
            </w:r>
            <w:r w:rsidRPr="000D6166">
              <w:rPr>
                <w:rFonts w:ascii="Times New Roman" w:hAnsi="Times New Roman" w:cs="Times New Roman"/>
                <w:iCs/>
                <w:color w:val="14283C"/>
                <w:u w:val="single"/>
              </w:rPr>
              <w:t xml:space="preserve">angļu, krievu valodā vai citā valodā, </w:t>
            </w:r>
            <w:r w:rsidRPr="009C3CCC">
              <w:rPr>
                <w:rFonts w:ascii="Times New Roman" w:hAnsi="Times New Roman" w:cs="Times New Roman"/>
                <w:iCs/>
                <w:color w:val="14283C"/>
                <w:u w:val="single"/>
              </w:rPr>
              <w:t>pievienojot tulkojumu latviešu valodā</w:t>
            </w:r>
            <w:r>
              <w:rPr>
                <w:rFonts w:ascii="Times New Roman" w:hAnsi="Times New Roman" w:cs="Times New Roman"/>
                <w:iCs/>
                <w:color w:val="14283C"/>
                <w:u w:val="single"/>
              </w:rPr>
              <w:t>.</w:t>
            </w:r>
          </w:p>
          <w:p w:rsidR="00870787" w:rsidRDefault="000F2D60" w:rsidP="00870787">
            <w:pPr>
              <w:rPr>
                <w:rFonts w:ascii="Times New Roman" w:hAnsi="Times New Roman" w:cs="Times New Roman"/>
                <w:color w:val="14283C"/>
              </w:rPr>
            </w:pPr>
            <w:r>
              <w:rPr>
                <w:rFonts w:ascii="Times New Roman" w:hAnsi="Times New Roman" w:cs="Times New Roman"/>
                <w:color w:val="14283C"/>
              </w:rPr>
              <w:t>Tātad, p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 xml:space="preserve">iedāvājumu </w:t>
            </w:r>
            <w:r w:rsidR="00870787">
              <w:rPr>
                <w:rFonts w:ascii="Times New Roman" w:hAnsi="Times New Roman" w:cs="Times New Roman"/>
                <w:color w:val="14283C"/>
              </w:rPr>
              <w:t>var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 xml:space="preserve"> iesniegt krievu</w:t>
            </w:r>
            <w:r w:rsidR="009C3CCC">
              <w:rPr>
                <w:rFonts w:ascii="Times New Roman" w:hAnsi="Times New Roman" w:cs="Times New Roman"/>
                <w:color w:val="14283C"/>
              </w:rPr>
              <w:t xml:space="preserve">, 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 xml:space="preserve">angļu </w:t>
            </w:r>
            <w:r w:rsidR="009C3CCC">
              <w:rPr>
                <w:rFonts w:ascii="Times New Roman" w:hAnsi="Times New Roman" w:cs="Times New Roman"/>
                <w:color w:val="14283C"/>
              </w:rPr>
              <w:t xml:space="preserve">vai citā 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>valodā</w:t>
            </w:r>
            <w:r w:rsidR="00870787">
              <w:rPr>
                <w:rFonts w:ascii="Times New Roman" w:hAnsi="Times New Roman" w:cs="Times New Roman"/>
                <w:color w:val="14283C"/>
              </w:rPr>
              <w:t xml:space="preserve"> tikai tādā gadījumā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 xml:space="preserve">, </w:t>
            </w:r>
            <w:r w:rsidR="00870787">
              <w:rPr>
                <w:rFonts w:ascii="Times New Roman" w:hAnsi="Times New Roman" w:cs="Times New Roman"/>
                <w:color w:val="14283C"/>
              </w:rPr>
              <w:t>ja tas tiek iesniegts kopā ar atbilstošu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 xml:space="preserve"> tulkojum</w:t>
            </w:r>
            <w:r w:rsidR="00870787">
              <w:rPr>
                <w:rFonts w:ascii="Times New Roman" w:hAnsi="Times New Roman" w:cs="Times New Roman"/>
                <w:color w:val="14283C"/>
              </w:rPr>
              <w:t>u</w:t>
            </w:r>
            <w:r w:rsidR="00870787" w:rsidRPr="00870787">
              <w:rPr>
                <w:rFonts w:ascii="Times New Roman" w:hAnsi="Times New Roman" w:cs="Times New Roman"/>
                <w:color w:val="14283C"/>
              </w:rPr>
              <w:t xml:space="preserve"> latviski</w:t>
            </w:r>
            <w:r w:rsidR="00870787">
              <w:rPr>
                <w:rFonts w:ascii="Times New Roman" w:hAnsi="Times New Roman" w:cs="Times New Roman"/>
                <w:color w:val="14283C"/>
              </w:rPr>
              <w:t>.</w:t>
            </w:r>
          </w:p>
          <w:p w:rsidR="009C3CCC" w:rsidRDefault="009C3CCC" w:rsidP="00870787">
            <w:pPr>
              <w:rPr>
                <w:rFonts w:ascii="Times New Roman" w:hAnsi="Times New Roman" w:cs="Times New Roman"/>
                <w:color w:val="14283C"/>
              </w:rPr>
            </w:pPr>
          </w:p>
          <w:p w:rsidR="009C3CCC" w:rsidRDefault="009C3CCC" w:rsidP="00870787">
            <w:pPr>
              <w:rPr>
                <w:rFonts w:ascii="Times New Roman" w:hAnsi="Times New Roman" w:cs="Times New Roman"/>
                <w:color w:val="14283C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70787">
              <w:rPr>
                <w:rFonts w:ascii="Times New Roman" w:hAnsi="Times New Roman" w:cs="Times New Roman"/>
              </w:rPr>
              <w:t>epirkuma dokumentācij</w:t>
            </w:r>
            <w:r w:rsidR="00516423">
              <w:rPr>
                <w:rFonts w:ascii="Times New Roman" w:hAnsi="Times New Roman" w:cs="Times New Roman"/>
              </w:rPr>
              <w:t xml:space="preserve">a </w:t>
            </w:r>
            <w:r w:rsidRPr="00870787">
              <w:rPr>
                <w:rFonts w:ascii="Times New Roman" w:hAnsi="Times New Roman" w:cs="Times New Roman"/>
              </w:rPr>
              <w:t>krievu vai angļu valodā</w:t>
            </w:r>
            <w:r>
              <w:rPr>
                <w:rFonts w:ascii="Times New Roman" w:hAnsi="Times New Roman" w:cs="Times New Roman"/>
              </w:rPr>
              <w:t xml:space="preserve"> nav pieejama.</w:t>
            </w:r>
          </w:p>
          <w:p w:rsidR="009C3CCC" w:rsidRDefault="009C3CCC" w:rsidP="00870787">
            <w:pPr>
              <w:rPr>
                <w:rFonts w:ascii="Times New Roman" w:hAnsi="Times New Roman" w:cs="Times New Roman"/>
                <w:iCs/>
                <w:color w:val="14283C"/>
                <w:u w:val="single"/>
              </w:rPr>
            </w:pPr>
          </w:p>
          <w:p w:rsidR="009C3CCC" w:rsidRPr="009C3CCC" w:rsidRDefault="009C3CCC" w:rsidP="0087078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46144B" w:rsidRPr="001E609E" w:rsidRDefault="0046144B" w:rsidP="00123B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46144B" w:rsidRPr="001E609E" w:rsidSect="001F12CF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3E" w:rsidRDefault="0004303E">
      <w:r>
        <w:separator/>
      </w:r>
    </w:p>
  </w:endnote>
  <w:endnote w:type="continuationSeparator" w:id="0">
    <w:p w:rsidR="0004303E" w:rsidRDefault="000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BD3" w:rsidRDefault="00995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BD3" w:rsidRDefault="00995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3E" w:rsidRDefault="0004303E">
      <w:r>
        <w:separator/>
      </w:r>
    </w:p>
  </w:footnote>
  <w:footnote w:type="continuationSeparator" w:id="0">
    <w:p w:rsidR="0004303E" w:rsidRDefault="0004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6357"/>
    <w:multiLevelType w:val="hybridMultilevel"/>
    <w:tmpl w:val="6A584B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6D04D5B"/>
    <w:multiLevelType w:val="hybridMultilevel"/>
    <w:tmpl w:val="DF0EC0E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C"/>
    <w:rsid w:val="00013625"/>
    <w:rsid w:val="00022B97"/>
    <w:rsid w:val="0004303E"/>
    <w:rsid w:val="000719EE"/>
    <w:rsid w:val="0009383D"/>
    <w:rsid w:val="000A5E8F"/>
    <w:rsid w:val="000C125B"/>
    <w:rsid w:val="000C5D22"/>
    <w:rsid w:val="000D6166"/>
    <w:rsid w:val="000F2D60"/>
    <w:rsid w:val="00100612"/>
    <w:rsid w:val="001167AD"/>
    <w:rsid w:val="00123BD5"/>
    <w:rsid w:val="00132262"/>
    <w:rsid w:val="001467D1"/>
    <w:rsid w:val="00184CC9"/>
    <w:rsid w:val="00185AF3"/>
    <w:rsid w:val="001A72C7"/>
    <w:rsid w:val="001C29C5"/>
    <w:rsid w:val="001E4530"/>
    <w:rsid w:val="001E609E"/>
    <w:rsid w:val="001F0899"/>
    <w:rsid w:val="001F12CF"/>
    <w:rsid w:val="002022A0"/>
    <w:rsid w:val="0023606E"/>
    <w:rsid w:val="00236F09"/>
    <w:rsid w:val="00247DBB"/>
    <w:rsid w:val="0025361F"/>
    <w:rsid w:val="00255871"/>
    <w:rsid w:val="00285057"/>
    <w:rsid w:val="00295822"/>
    <w:rsid w:val="002E5DC6"/>
    <w:rsid w:val="00306260"/>
    <w:rsid w:val="00315AAA"/>
    <w:rsid w:val="003204EA"/>
    <w:rsid w:val="00372BD3"/>
    <w:rsid w:val="003A40DD"/>
    <w:rsid w:val="003B2849"/>
    <w:rsid w:val="00411370"/>
    <w:rsid w:val="00431040"/>
    <w:rsid w:val="0046144B"/>
    <w:rsid w:val="00465B4D"/>
    <w:rsid w:val="004B559C"/>
    <w:rsid w:val="004E2430"/>
    <w:rsid w:val="004E7266"/>
    <w:rsid w:val="00516423"/>
    <w:rsid w:val="0052385A"/>
    <w:rsid w:val="00543668"/>
    <w:rsid w:val="005769F6"/>
    <w:rsid w:val="0059041B"/>
    <w:rsid w:val="005C6483"/>
    <w:rsid w:val="005C6CCC"/>
    <w:rsid w:val="005C6DEF"/>
    <w:rsid w:val="005D1947"/>
    <w:rsid w:val="005E266A"/>
    <w:rsid w:val="005E2C9B"/>
    <w:rsid w:val="005F5391"/>
    <w:rsid w:val="00670559"/>
    <w:rsid w:val="0069765C"/>
    <w:rsid w:val="006A1AE7"/>
    <w:rsid w:val="006A7726"/>
    <w:rsid w:val="007530DA"/>
    <w:rsid w:val="00793F53"/>
    <w:rsid w:val="007B2A23"/>
    <w:rsid w:val="007C3720"/>
    <w:rsid w:val="007C395C"/>
    <w:rsid w:val="007D63DE"/>
    <w:rsid w:val="007E4F14"/>
    <w:rsid w:val="007E7287"/>
    <w:rsid w:val="0080096D"/>
    <w:rsid w:val="0081137C"/>
    <w:rsid w:val="008356A1"/>
    <w:rsid w:val="008374E0"/>
    <w:rsid w:val="00837772"/>
    <w:rsid w:val="008651DE"/>
    <w:rsid w:val="00867D0D"/>
    <w:rsid w:val="00870787"/>
    <w:rsid w:val="008863F4"/>
    <w:rsid w:val="00893382"/>
    <w:rsid w:val="008A4BB7"/>
    <w:rsid w:val="008E6133"/>
    <w:rsid w:val="008F1487"/>
    <w:rsid w:val="00914CC9"/>
    <w:rsid w:val="00915E29"/>
    <w:rsid w:val="00924EC1"/>
    <w:rsid w:val="009663D9"/>
    <w:rsid w:val="009711C0"/>
    <w:rsid w:val="00976B22"/>
    <w:rsid w:val="0098193D"/>
    <w:rsid w:val="0098236C"/>
    <w:rsid w:val="00995BD3"/>
    <w:rsid w:val="0099644E"/>
    <w:rsid w:val="009C3CCC"/>
    <w:rsid w:val="009C6864"/>
    <w:rsid w:val="009D403C"/>
    <w:rsid w:val="00A45943"/>
    <w:rsid w:val="00A4780A"/>
    <w:rsid w:val="00A90F12"/>
    <w:rsid w:val="00AB5D39"/>
    <w:rsid w:val="00AD6700"/>
    <w:rsid w:val="00AF3EF1"/>
    <w:rsid w:val="00B007A3"/>
    <w:rsid w:val="00B74363"/>
    <w:rsid w:val="00BE6801"/>
    <w:rsid w:val="00BE6B3A"/>
    <w:rsid w:val="00C007C0"/>
    <w:rsid w:val="00C03F46"/>
    <w:rsid w:val="00C20434"/>
    <w:rsid w:val="00C413FA"/>
    <w:rsid w:val="00C95FD6"/>
    <w:rsid w:val="00CA283C"/>
    <w:rsid w:val="00CB11F2"/>
    <w:rsid w:val="00CC3334"/>
    <w:rsid w:val="00CC6029"/>
    <w:rsid w:val="00CD008A"/>
    <w:rsid w:val="00CF0681"/>
    <w:rsid w:val="00D022D9"/>
    <w:rsid w:val="00D04616"/>
    <w:rsid w:val="00D100DF"/>
    <w:rsid w:val="00D74D1E"/>
    <w:rsid w:val="00D81340"/>
    <w:rsid w:val="00DB1DE4"/>
    <w:rsid w:val="00DB27BB"/>
    <w:rsid w:val="00DE7FC0"/>
    <w:rsid w:val="00E00773"/>
    <w:rsid w:val="00E5587E"/>
    <w:rsid w:val="00E7181B"/>
    <w:rsid w:val="00E81FA3"/>
    <w:rsid w:val="00EF78AF"/>
    <w:rsid w:val="00F01866"/>
    <w:rsid w:val="00F16CCC"/>
    <w:rsid w:val="00F30E21"/>
    <w:rsid w:val="00F350D7"/>
    <w:rsid w:val="00F535CC"/>
    <w:rsid w:val="00F65E23"/>
    <w:rsid w:val="00FC29CF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9C751-56B1-42F2-B791-6C0B659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3C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3C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D40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403C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D403C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616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16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6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1E4530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1E4530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Default">
    <w:name w:val="Default"/>
    <w:rsid w:val="00F3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2">
    <w:name w:val="Nos2"/>
    <w:uiPriority w:val="99"/>
    <w:rsid w:val="008651D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1D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6417-AA71-4A25-9254-F11313DA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Liene Popova</cp:lastModifiedBy>
  <cp:revision>11</cp:revision>
  <dcterms:created xsi:type="dcterms:W3CDTF">2019-11-22T12:17:00Z</dcterms:created>
  <dcterms:modified xsi:type="dcterms:W3CDTF">2020-02-14T08:04:00Z</dcterms:modified>
</cp:coreProperties>
</file>