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AE2E" w14:textId="77777777" w:rsidR="00E77633" w:rsidRPr="00A062F4" w:rsidRDefault="00E77633" w:rsidP="00E77633">
      <w:pPr>
        <w:pStyle w:val="Default"/>
        <w:jc w:val="right"/>
        <w:rPr>
          <w:rFonts w:ascii="Arial" w:hAnsi="Arial" w:cs="Arial"/>
          <w:sz w:val="22"/>
          <w:szCs w:val="22"/>
          <w:lang w:val="lv-LV"/>
        </w:rPr>
      </w:pPr>
      <w:r w:rsidRPr="00A062F4">
        <w:rPr>
          <w:rFonts w:ascii="Arial" w:hAnsi="Arial" w:cs="Arial"/>
          <w:sz w:val="22"/>
          <w:szCs w:val="22"/>
          <w:lang w:val="lv-LV"/>
        </w:rPr>
        <w:t>APSTIPRINĀTS</w:t>
      </w:r>
    </w:p>
    <w:p w14:paraId="32380A6E" w14:textId="77777777" w:rsidR="00E77633" w:rsidRPr="00A062F4" w:rsidRDefault="00E77633" w:rsidP="00E77633">
      <w:pPr>
        <w:pStyle w:val="Default"/>
        <w:jc w:val="right"/>
        <w:rPr>
          <w:rFonts w:ascii="Arial" w:hAnsi="Arial" w:cs="Arial"/>
          <w:sz w:val="22"/>
          <w:szCs w:val="22"/>
          <w:lang w:val="lv-LV"/>
        </w:rPr>
      </w:pPr>
      <w:r w:rsidRPr="00A062F4">
        <w:rPr>
          <w:rFonts w:ascii="Arial" w:hAnsi="Arial" w:cs="Arial"/>
          <w:sz w:val="22"/>
          <w:szCs w:val="22"/>
          <w:lang w:val="lv-LV"/>
        </w:rPr>
        <w:t>ar VAS “Latvijas dzelzceļš” iepirkuma komisijas</w:t>
      </w:r>
    </w:p>
    <w:p w14:paraId="2AF4F122" w14:textId="45809118" w:rsidR="00E77633" w:rsidRPr="00A062F4" w:rsidRDefault="00E77633" w:rsidP="00E77633">
      <w:pPr>
        <w:pStyle w:val="Default"/>
        <w:jc w:val="right"/>
        <w:rPr>
          <w:rFonts w:ascii="Arial" w:hAnsi="Arial" w:cs="Arial"/>
          <w:sz w:val="22"/>
          <w:szCs w:val="22"/>
          <w:lang w:val="lv-LV"/>
        </w:rPr>
      </w:pPr>
      <w:r w:rsidRPr="00A062F4">
        <w:rPr>
          <w:rFonts w:ascii="Arial" w:hAnsi="Arial" w:cs="Arial"/>
          <w:sz w:val="22"/>
          <w:szCs w:val="22"/>
          <w:lang w:val="lv-LV"/>
        </w:rPr>
        <w:t xml:space="preserve">2021.gada </w:t>
      </w:r>
      <w:r w:rsidR="00844527">
        <w:rPr>
          <w:rFonts w:ascii="Arial" w:hAnsi="Arial" w:cs="Arial"/>
          <w:sz w:val="22"/>
          <w:szCs w:val="22"/>
          <w:lang w:val="lv-LV"/>
        </w:rPr>
        <w:t>19</w:t>
      </w:r>
      <w:r w:rsidRPr="00A062F4">
        <w:rPr>
          <w:rFonts w:ascii="Arial" w:hAnsi="Arial" w:cs="Arial"/>
          <w:sz w:val="22"/>
          <w:szCs w:val="22"/>
          <w:lang w:val="lv-LV"/>
        </w:rPr>
        <w:t xml:space="preserve">.februāra </w:t>
      </w:r>
      <w:r>
        <w:rPr>
          <w:rFonts w:ascii="Arial" w:hAnsi="Arial" w:cs="Arial"/>
          <w:sz w:val="22"/>
          <w:szCs w:val="22"/>
          <w:lang w:val="lv-LV"/>
        </w:rPr>
        <w:t>4</w:t>
      </w:r>
      <w:r w:rsidRPr="00A062F4">
        <w:rPr>
          <w:rFonts w:ascii="Arial" w:hAnsi="Arial" w:cs="Arial"/>
          <w:sz w:val="22"/>
          <w:szCs w:val="22"/>
          <w:lang w:val="lv-LV"/>
        </w:rPr>
        <w:t>.sēdes protokolu</w:t>
      </w:r>
    </w:p>
    <w:p w14:paraId="11D370A8" w14:textId="77777777" w:rsidR="00E77633" w:rsidRPr="009D2C76" w:rsidRDefault="00E77633" w:rsidP="00E77633">
      <w:pPr>
        <w:pStyle w:val="Default"/>
        <w:jc w:val="right"/>
        <w:rPr>
          <w:rFonts w:ascii="Arial" w:hAnsi="Arial" w:cs="Arial"/>
          <w:sz w:val="12"/>
          <w:szCs w:val="12"/>
          <w:lang w:val="lv-LV"/>
        </w:rPr>
      </w:pPr>
    </w:p>
    <w:p w14:paraId="7795A58F" w14:textId="77777777" w:rsidR="00E77633" w:rsidRPr="00A062F4" w:rsidRDefault="00E77633" w:rsidP="00E77633">
      <w:pPr>
        <w:pStyle w:val="Default"/>
        <w:ind w:left="567" w:right="799"/>
        <w:jc w:val="center"/>
        <w:rPr>
          <w:rFonts w:ascii="Arial" w:hAnsi="Arial" w:cs="Arial"/>
          <w:b/>
          <w:sz w:val="22"/>
          <w:szCs w:val="22"/>
          <w:lang w:val="lv-LV"/>
        </w:rPr>
      </w:pPr>
      <w:r w:rsidRPr="00A062F4">
        <w:rPr>
          <w:rFonts w:ascii="Arial" w:hAnsi="Arial" w:cs="Arial"/>
          <w:b/>
          <w:sz w:val="22"/>
          <w:szCs w:val="22"/>
          <w:lang w:val="lv-LV"/>
        </w:rPr>
        <w:t>Sarunu procedūrā ar publikāciju “Tehnisko gāzu produkcija”,</w:t>
      </w:r>
    </w:p>
    <w:p w14:paraId="42FD588F" w14:textId="77777777" w:rsidR="00E77633" w:rsidRDefault="00E77633" w:rsidP="00E77633">
      <w:pPr>
        <w:pStyle w:val="Default"/>
        <w:ind w:left="567" w:right="799"/>
        <w:jc w:val="center"/>
        <w:rPr>
          <w:rFonts w:ascii="Arial" w:hAnsi="Arial" w:cs="Arial"/>
          <w:b/>
          <w:sz w:val="22"/>
          <w:szCs w:val="22"/>
          <w:lang w:val="lv-LV"/>
        </w:rPr>
      </w:pPr>
      <w:r w:rsidRPr="00A062F4">
        <w:rPr>
          <w:rFonts w:ascii="Arial" w:hAnsi="Arial" w:cs="Arial"/>
          <w:b/>
          <w:sz w:val="22"/>
          <w:szCs w:val="22"/>
          <w:lang w:val="lv-LV"/>
        </w:rPr>
        <w:t>iepirkuma identifikācijas Nr. LDZ 2021/4-IBz</w:t>
      </w:r>
    </w:p>
    <w:p w14:paraId="0C3B384D" w14:textId="77777777" w:rsidR="00E77633" w:rsidRPr="000873B6" w:rsidRDefault="00E77633" w:rsidP="00E77633">
      <w:pPr>
        <w:pStyle w:val="Default"/>
        <w:ind w:left="567" w:right="799"/>
        <w:jc w:val="center"/>
        <w:rPr>
          <w:rFonts w:ascii="Arial" w:hAnsi="Arial" w:cs="Arial"/>
          <w:bCs/>
          <w:sz w:val="22"/>
          <w:szCs w:val="22"/>
          <w:lang w:val="lv-LV"/>
        </w:rPr>
      </w:pPr>
      <w:r w:rsidRPr="000873B6">
        <w:rPr>
          <w:rFonts w:ascii="Arial" w:hAnsi="Arial" w:cs="Arial"/>
          <w:bCs/>
          <w:sz w:val="22"/>
          <w:szCs w:val="22"/>
          <w:lang w:val="lv-LV"/>
        </w:rPr>
        <w:t>(turpmāk – sarunu procedūra)</w:t>
      </w:r>
    </w:p>
    <w:p w14:paraId="56EB86FC" w14:textId="77777777" w:rsidR="00E77633" w:rsidRPr="009D2C76" w:rsidRDefault="00E77633" w:rsidP="00E77633">
      <w:pPr>
        <w:pStyle w:val="Default"/>
        <w:jc w:val="center"/>
        <w:rPr>
          <w:rFonts w:ascii="Arial" w:hAnsi="Arial" w:cs="Arial"/>
          <w:bCs/>
          <w:sz w:val="12"/>
          <w:szCs w:val="12"/>
          <w:lang w:val="lv-LV"/>
        </w:rPr>
      </w:pPr>
    </w:p>
    <w:p w14:paraId="24A66769" w14:textId="77940670" w:rsidR="00E77633" w:rsidRPr="00A062F4" w:rsidRDefault="00E77633" w:rsidP="00E77633">
      <w:pPr>
        <w:pStyle w:val="Default"/>
        <w:jc w:val="center"/>
        <w:rPr>
          <w:rFonts w:ascii="Arial" w:hAnsi="Arial" w:cs="Arial"/>
          <w:b/>
          <w:smallCaps/>
          <w:sz w:val="22"/>
          <w:szCs w:val="22"/>
          <w:lang w:val="lv-LV"/>
        </w:rPr>
      </w:pPr>
      <w:r w:rsidRPr="00A062F4">
        <w:rPr>
          <w:rFonts w:ascii="Arial" w:hAnsi="Arial" w:cs="Arial"/>
          <w:b/>
          <w:smallCaps/>
          <w:sz w:val="22"/>
          <w:szCs w:val="22"/>
          <w:lang w:val="lv-LV"/>
        </w:rPr>
        <w:t>Skaidrojums Nr.</w:t>
      </w:r>
      <w:r>
        <w:rPr>
          <w:rFonts w:ascii="Arial" w:hAnsi="Arial" w:cs="Arial"/>
          <w:b/>
          <w:smallCaps/>
          <w:sz w:val="22"/>
          <w:szCs w:val="22"/>
          <w:lang w:val="lv-LV"/>
        </w:rPr>
        <w:t>3</w:t>
      </w:r>
    </w:p>
    <w:p w14:paraId="1ED9F645" w14:textId="77777777" w:rsidR="00E77633" w:rsidRPr="009D2C76" w:rsidRDefault="00E77633" w:rsidP="00E77633">
      <w:pPr>
        <w:pStyle w:val="Default"/>
        <w:jc w:val="center"/>
        <w:rPr>
          <w:rFonts w:ascii="Arial" w:hAnsi="Arial" w:cs="Arial"/>
          <w:bCs/>
          <w:sz w:val="14"/>
          <w:szCs w:val="14"/>
          <w:lang w:val="lv-LV"/>
        </w:rPr>
      </w:pPr>
    </w:p>
    <w:p w14:paraId="2AC987B7" w14:textId="78A53EED" w:rsidR="00E77633" w:rsidRPr="000873B6" w:rsidRDefault="005A3CDF" w:rsidP="00E77633">
      <w:pPr>
        <w:pStyle w:val="Default"/>
        <w:jc w:val="center"/>
        <w:rPr>
          <w:rFonts w:ascii="Arial" w:hAnsi="Arial" w:cs="Arial"/>
          <w:bCs/>
          <w:sz w:val="22"/>
          <w:szCs w:val="22"/>
          <w:lang w:val="lv-LV"/>
        </w:rPr>
      </w:pPr>
      <w:bookmarkStart w:id="0" w:name="_Hlk64904932"/>
      <w:r>
        <w:rPr>
          <w:rFonts w:ascii="Arial" w:hAnsi="Arial" w:cs="Arial"/>
          <w:bCs/>
          <w:sz w:val="22"/>
          <w:szCs w:val="22"/>
          <w:lang w:val="lv-LV"/>
        </w:rPr>
        <w:t xml:space="preserve">Sarunu procedūras </w:t>
      </w:r>
      <w:r w:rsidR="00E77633" w:rsidRPr="000873B6">
        <w:rPr>
          <w:rFonts w:ascii="Arial" w:hAnsi="Arial" w:cs="Arial"/>
          <w:bCs/>
          <w:sz w:val="22"/>
          <w:szCs w:val="22"/>
          <w:lang w:val="lv-LV"/>
        </w:rPr>
        <w:t>iepirkuma komisijas sniegtā</w:t>
      </w:r>
      <w:r w:rsidR="00E77633">
        <w:rPr>
          <w:rFonts w:ascii="Arial" w:hAnsi="Arial" w:cs="Arial"/>
          <w:bCs/>
          <w:sz w:val="22"/>
          <w:szCs w:val="22"/>
          <w:lang w:val="lv-LV"/>
        </w:rPr>
        <w:t>s</w:t>
      </w:r>
      <w:r w:rsidR="00E77633" w:rsidRPr="000873B6">
        <w:rPr>
          <w:rFonts w:ascii="Arial" w:hAnsi="Arial" w:cs="Arial"/>
          <w:bCs/>
          <w:sz w:val="22"/>
          <w:szCs w:val="22"/>
          <w:lang w:val="lv-LV"/>
        </w:rPr>
        <w:t xml:space="preserve"> atbilde</w:t>
      </w:r>
      <w:r w:rsidR="00E77633">
        <w:rPr>
          <w:rFonts w:ascii="Arial" w:hAnsi="Arial" w:cs="Arial"/>
          <w:bCs/>
          <w:sz w:val="22"/>
          <w:szCs w:val="22"/>
          <w:lang w:val="lv-LV"/>
        </w:rPr>
        <w:t xml:space="preserve">s pēc </w:t>
      </w:r>
      <w:r w:rsidR="00E77633" w:rsidRPr="000873B6">
        <w:rPr>
          <w:rFonts w:ascii="Arial" w:hAnsi="Arial" w:cs="Arial"/>
          <w:bCs/>
          <w:sz w:val="22"/>
          <w:szCs w:val="22"/>
          <w:lang w:val="lv-LV"/>
        </w:rPr>
        <w:t>ieinteresētā piegādātāja jautājum</w:t>
      </w:r>
      <w:r w:rsidR="00E77633">
        <w:rPr>
          <w:rFonts w:ascii="Arial" w:hAnsi="Arial" w:cs="Arial"/>
          <w:bCs/>
          <w:sz w:val="22"/>
          <w:szCs w:val="22"/>
          <w:lang w:val="lv-LV"/>
        </w:rPr>
        <w:t xml:space="preserve">iem </w:t>
      </w:r>
      <w:r w:rsidR="00E77633" w:rsidRPr="000873B6">
        <w:rPr>
          <w:rFonts w:ascii="Arial" w:hAnsi="Arial" w:cs="Arial"/>
          <w:bCs/>
          <w:sz w:val="22"/>
          <w:szCs w:val="22"/>
          <w:lang w:val="lv-LV"/>
        </w:rPr>
        <w:t xml:space="preserve">(saņemts </w:t>
      </w:r>
      <w:r w:rsidR="00844527">
        <w:rPr>
          <w:rFonts w:ascii="Arial" w:hAnsi="Arial" w:cs="Arial"/>
          <w:bCs/>
          <w:sz w:val="22"/>
          <w:szCs w:val="22"/>
          <w:lang w:val="lv-LV"/>
        </w:rPr>
        <w:t>18</w:t>
      </w:r>
      <w:r w:rsidR="00E77633">
        <w:rPr>
          <w:rFonts w:ascii="Arial" w:hAnsi="Arial" w:cs="Arial"/>
          <w:bCs/>
          <w:sz w:val="22"/>
          <w:szCs w:val="22"/>
          <w:lang w:val="lv-LV"/>
        </w:rPr>
        <w:t>.</w:t>
      </w:r>
      <w:r w:rsidR="00E77633" w:rsidRPr="000873B6">
        <w:rPr>
          <w:rFonts w:ascii="Arial" w:hAnsi="Arial" w:cs="Arial"/>
          <w:bCs/>
          <w:sz w:val="22"/>
          <w:szCs w:val="22"/>
          <w:lang w:val="lv-LV"/>
        </w:rPr>
        <w:t>02.2021.)</w:t>
      </w:r>
    </w:p>
    <w:tbl>
      <w:tblPr>
        <w:tblStyle w:val="TableGrid"/>
        <w:tblW w:w="9498" w:type="dxa"/>
        <w:tblInd w:w="-289" w:type="dxa"/>
        <w:tblLook w:val="04A0" w:firstRow="1" w:lastRow="0" w:firstColumn="1" w:lastColumn="0" w:noHBand="0" w:noVBand="1"/>
      </w:tblPr>
      <w:tblGrid>
        <w:gridCol w:w="564"/>
        <w:gridCol w:w="4823"/>
        <w:gridCol w:w="4111"/>
      </w:tblGrid>
      <w:tr w:rsidR="00E77633" w:rsidRPr="00DF34F8" w14:paraId="3C108EAE" w14:textId="77777777" w:rsidTr="0093711E">
        <w:trPr>
          <w:trHeight w:val="412"/>
        </w:trPr>
        <w:tc>
          <w:tcPr>
            <w:tcW w:w="564" w:type="dxa"/>
          </w:tcPr>
          <w:p w14:paraId="1068385F" w14:textId="77777777" w:rsidR="00E77633" w:rsidRPr="00DF34F8" w:rsidRDefault="00E77633" w:rsidP="003A35CB">
            <w:pPr>
              <w:pStyle w:val="Default"/>
              <w:jc w:val="center"/>
              <w:rPr>
                <w:rFonts w:ascii="Arial" w:hAnsi="Arial" w:cs="Arial"/>
                <w:b/>
                <w:sz w:val="22"/>
                <w:szCs w:val="22"/>
                <w:lang w:val="lv-LV"/>
              </w:rPr>
            </w:pPr>
            <w:bookmarkStart w:id="1" w:name="_Hlk64904951"/>
            <w:bookmarkStart w:id="2" w:name="_GoBack"/>
            <w:bookmarkEnd w:id="0"/>
          </w:p>
        </w:tc>
        <w:tc>
          <w:tcPr>
            <w:tcW w:w="4823" w:type="dxa"/>
          </w:tcPr>
          <w:p w14:paraId="09475388" w14:textId="77777777" w:rsidR="00E77633" w:rsidRPr="00DF34F8" w:rsidRDefault="00E77633" w:rsidP="003A35CB">
            <w:pPr>
              <w:pStyle w:val="Default"/>
              <w:jc w:val="center"/>
              <w:rPr>
                <w:rFonts w:ascii="Arial" w:hAnsi="Arial" w:cs="Arial"/>
                <w:b/>
                <w:sz w:val="22"/>
                <w:szCs w:val="22"/>
                <w:lang w:val="lv-LV"/>
              </w:rPr>
            </w:pPr>
            <w:r w:rsidRPr="00DF34F8">
              <w:rPr>
                <w:rFonts w:ascii="Arial" w:hAnsi="Arial" w:cs="Arial"/>
                <w:b/>
                <w:sz w:val="22"/>
                <w:szCs w:val="22"/>
                <w:lang w:val="lv-LV"/>
              </w:rPr>
              <w:t>Jautājums</w:t>
            </w:r>
          </w:p>
        </w:tc>
        <w:tc>
          <w:tcPr>
            <w:tcW w:w="4111" w:type="dxa"/>
          </w:tcPr>
          <w:p w14:paraId="105C32AB" w14:textId="77777777" w:rsidR="00E77633" w:rsidRPr="00DF34F8" w:rsidRDefault="00E77633" w:rsidP="003A35CB">
            <w:pPr>
              <w:pStyle w:val="Default"/>
              <w:jc w:val="center"/>
              <w:rPr>
                <w:rFonts w:ascii="Arial" w:hAnsi="Arial" w:cs="Arial"/>
                <w:b/>
                <w:sz w:val="22"/>
                <w:szCs w:val="22"/>
                <w:lang w:val="lv-LV"/>
              </w:rPr>
            </w:pPr>
            <w:r w:rsidRPr="00DF34F8">
              <w:rPr>
                <w:rFonts w:ascii="Arial" w:hAnsi="Arial" w:cs="Arial"/>
                <w:b/>
                <w:sz w:val="22"/>
                <w:szCs w:val="22"/>
                <w:lang w:val="lv-LV"/>
              </w:rPr>
              <w:t>Atbilde</w:t>
            </w:r>
          </w:p>
        </w:tc>
      </w:tr>
      <w:tr w:rsidR="00E60A84" w:rsidRPr="005A3CDF" w14:paraId="0B3337BE" w14:textId="77777777" w:rsidTr="0060579B">
        <w:trPr>
          <w:trHeight w:val="5633"/>
        </w:trPr>
        <w:tc>
          <w:tcPr>
            <w:tcW w:w="564" w:type="dxa"/>
          </w:tcPr>
          <w:p w14:paraId="623E8AC4" w14:textId="77777777" w:rsidR="00E60A84" w:rsidRPr="00E77633" w:rsidRDefault="00E60A84" w:rsidP="00E60A84">
            <w:pPr>
              <w:pStyle w:val="Default"/>
              <w:ind w:firstLine="164"/>
              <w:jc w:val="both"/>
              <w:rPr>
                <w:rFonts w:ascii="Arial" w:hAnsi="Arial" w:cs="Arial"/>
                <w:sz w:val="22"/>
                <w:szCs w:val="22"/>
                <w:lang w:val="lv-LV"/>
              </w:rPr>
            </w:pPr>
            <w:r w:rsidRPr="00E77633">
              <w:rPr>
                <w:rFonts w:ascii="Arial" w:hAnsi="Arial" w:cs="Arial"/>
                <w:sz w:val="22"/>
                <w:szCs w:val="22"/>
                <w:lang w:val="lv-LV"/>
              </w:rPr>
              <w:t>1.</w:t>
            </w:r>
          </w:p>
        </w:tc>
        <w:tc>
          <w:tcPr>
            <w:tcW w:w="4823" w:type="dxa"/>
          </w:tcPr>
          <w:p w14:paraId="1916F90A" w14:textId="77777777" w:rsidR="00E60A84" w:rsidRPr="00E77633" w:rsidRDefault="00E60A84" w:rsidP="00E60A84">
            <w:pPr>
              <w:ind w:firstLine="720"/>
              <w:jc w:val="both"/>
              <w:rPr>
                <w:rFonts w:ascii="Arial" w:hAnsi="Arial" w:cs="Arial"/>
                <w:sz w:val="22"/>
                <w:szCs w:val="22"/>
                <w:lang w:val="lv-LV"/>
              </w:rPr>
            </w:pPr>
            <w:r w:rsidRPr="00E77633">
              <w:rPr>
                <w:rFonts w:ascii="Arial" w:hAnsi="Arial" w:cs="Arial"/>
                <w:b/>
                <w:bCs/>
                <w:sz w:val="22"/>
                <w:szCs w:val="22"/>
                <w:lang w:val="lv-LV"/>
              </w:rPr>
              <w:t>Par tehnisko specifikāciju</w:t>
            </w:r>
            <w:r w:rsidRPr="00E77633">
              <w:rPr>
                <w:rFonts w:ascii="Arial" w:hAnsi="Arial" w:cs="Arial"/>
                <w:sz w:val="22"/>
                <w:szCs w:val="22"/>
                <w:lang w:val="lv-LV"/>
              </w:rPr>
              <w:t xml:space="preserve"> – pozīcijās Nr.12 un Nr.13 ir kļūda balonu skaitā: skābeklis 20L jābūt 152 gab., skābeklis 50L jābūt 847 gab.</w:t>
            </w:r>
          </w:p>
          <w:p w14:paraId="145E6E14" w14:textId="215CA7BC" w:rsidR="00E60A84" w:rsidRPr="00E77633" w:rsidRDefault="00E60A84" w:rsidP="00E60A84">
            <w:pPr>
              <w:pStyle w:val="NormalWeb"/>
              <w:rPr>
                <w:rFonts w:ascii="Arial" w:hAnsi="Arial" w:cs="Arial"/>
                <w:sz w:val="22"/>
                <w:szCs w:val="22"/>
              </w:rPr>
            </w:pPr>
            <w:r w:rsidRPr="00E77633">
              <w:rPr>
                <w:rFonts w:ascii="Arial" w:hAnsi="Arial" w:cs="Arial"/>
                <w:sz w:val="22"/>
                <w:szCs w:val="22"/>
              </w:rPr>
              <w:t xml:space="preserve">1.daļa “Tehniskās gāzes” – pozīcijas Nr. 1;2;3;10 arī ir </w:t>
            </w:r>
            <w:r w:rsidRPr="00E77633">
              <w:rPr>
                <w:rFonts w:ascii="Arial" w:hAnsi="Arial" w:cs="Arial"/>
                <w:sz w:val="22"/>
                <w:szCs w:val="22"/>
                <w:u w:val="single"/>
              </w:rPr>
              <w:t>degošās</w:t>
            </w:r>
            <w:r w:rsidRPr="00E77633">
              <w:rPr>
                <w:rFonts w:ascii="Arial" w:hAnsi="Arial" w:cs="Arial"/>
                <w:sz w:val="22"/>
                <w:szCs w:val="22"/>
              </w:rPr>
              <w:t xml:space="preserve"> gāzes. Pēc sastāva tām būtu jābūt 2.daļā “Tehniskās-degošās gāzes”.</w:t>
            </w:r>
          </w:p>
        </w:tc>
        <w:tc>
          <w:tcPr>
            <w:tcW w:w="4111" w:type="dxa"/>
          </w:tcPr>
          <w:p w14:paraId="05F79559" w14:textId="77777777" w:rsidR="00E60A84" w:rsidRDefault="00E60A84" w:rsidP="00E60A84">
            <w:pPr>
              <w:jc w:val="both"/>
              <w:rPr>
                <w:rFonts w:ascii="Arial" w:hAnsi="Arial" w:cs="Arial"/>
                <w:sz w:val="22"/>
                <w:szCs w:val="22"/>
                <w:lang w:val="lv-LV"/>
              </w:rPr>
            </w:pPr>
            <w:r>
              <w:rPr>
                <w:rFonts w:ascii="Arial" w:hAnsi="Arial" w:cs="Arial"/>
                <w:sz w:val="22"/>
                <w:szCs w:val="22"/>
                <w:lang w:val="lv-LV"/>
              </w:rPr>
              <w:t>Attiecībā uz jautājumā minēto skaitu, skaidrojam, ka sarunu procedūras nolikuma 3.pielikumā “Tehniskā specifikācija” pozīcijās Nr.12 un Nr.13 konstatēta aprēķinu kļūda, tādēļ attiecīgajās pozīcijās tiek veikti atbilstoši grozījumi (skat. Grozījumus nr.3).</w:t>
            </w:r>
          </w:p>
          <w:p w14:paraId="0629300E" w14:textId="77777777" w:rsidR="00E60A84" w:rsidRDefault="00E60A84" w:rsidP="00E60A84">
            <w:pPr>
              <w:jc w:val="both"/>
              <w:rPr>
                <w:rFonts w:ascii="Arial" w:hAnsi="Arial" w:cs="Arial"/>
                <w:sz w:val="22"/>
                <w:szCs w:val="22"/>
                <w:lang w:val="lv-LV"/>
              </w:rPr>
            </w:pPr>
          </w:p>
          <w:p w14:paraId="75254FD1" w14:textId="77777777" w:rsidR="00E60A84" w:rsidRDefault="00E60A84" w:rsidP="00E60A84">
            <w:pPr>
              <w:jc w:val="both"/>
              <w:rPr>
                <w:rFonts w:ascii="Arial" w:hAnsi="Arial" w:cs="Arial"/>
                <w:sz w:val="22"/>
                <w:szCs w:val="22"/>
                <w:lang w:val="lv-LV"/>
              </w:rPr>
            </w:pPr>
            <w:r>
              <w:rPr>
                <w:rFonts w:ascii="Arial" w:hAnsi="Arial" w:cs="Arial"/>
                <w:sz w:val="22"/>
                <w:szCs w:val="22"/>
                <w:lang w:val="lv-LV"/>
              </w:rPr>
              <w:t>Ņemot vērā sniegto informāciju, tiek precizēts nosaukums sarunu procedūras priekšmeta 2.daļai, nosakot “Tehniskās gāzes – propāna, butāna gāzes”.</w:t>
            </w:r>
          </w:p>
          <w:p w14:paraId="05B1A5D3" w14:textId="3373F0C0" w:rsidR="00E60A84" w:rsidRPr="00E77633" w:rsidRDefault="00E60A84" w:rsidP="00E60A84">
            <w:pPr>
              <w:jc w:val="both"/>
              <w:rPr>
                <w:rFonts w:ascii="Arial" w:hAnsi="Arial" w:cs="Arial"/>
                <w:sz w:val="22"/>
                <w:szCs w:val="22"/>
                <w:lang w:val="lv-LV"/>
              </w:rPr>
            </w:pPr>
            <w:r>
              <w:rPr>
                <w:rFonts w:ascii="Arial" w:hAnsi="Arial" w:cs="Arial"/>
                <w:sz w:val="22"/>
                <w:szCs w:val="22"/>
                <w:lang w:val="lv-LV"/>
              </w:rPr>
              <w:t>Vienlaikus, vēršam uzmanību, ka pārskatot sarunu procedūras nolikuma 3.pielikuma “Tehniskā specifikācija” preču uzskaitījumu (Grozījumu Nr.2 redakcijā) pozīcija Nr.11 tiek pārcelta uz sarunu procedūras priekšmeta 2.daļu. Pārējās daļas netiek mainītas un paliek spēkā līdzšinējā redakcijā (kā tika precizēts Grozījumu Nr.2 redakcijā).</w:t>
            </w:r>
          </w:p>
        </w:tc>
      </w:tr>
      <w:tr w:rsidR="00E60A84" w:rsidRPr="005A3CDF" w14:paraId="65D39CC6" w14:textId="77777777" w:rsidTr="0099425D">
        <w:trPr>
          <w:trHeight w:val="1124"/>
        </w:trPr>
        <w:tc>
          <w:tcPr>
            <w:tcW w:w="564" w:type="dxa"/>
          </w:tcPr>
          <w:p w14:paraId="46EE2E51" w14:textId="77777777" w:rsidR="00E60A84" w:rsidRPr="00E77633" w:rsidRDefault="00E60A84" w:rsidP="00E60A84">
            <w:pPr>
              <w:pStyle w:val="Default"/>
              <w:ind w:firstLine="164"/>
              <w:jc w:val="both"/>
              <w:rPr>
                <w:rFonts w:ascii="Arial" w:hAnsi="Arial" w:cs="Arial"/>
                <w:sz w:val="22"/>
                <w:szCs w:val="22"/>
                <w:lang w:val="lv-LV"/>
              </w:rPr>
            </w:pPr>
            <w:r w:rsidRPr="00E77633">
              <w:rPr>
                <w:rFonts w:ascii="Arial" w:hAnsi="Arial" w:cs="Arial"/>
                <w:sz w:val="22"/>
                <w:szCs w:val="22"/>
                <w:lang w:val="lv-LV"/>
              </w:rPr>
              <w:t>2.</w:t>
            </w:r>
          </w:p>
        </w:tc>
        <w:tc>
          <w:tcPr>
            <w:tcW w:w="4823" w:type="dxa"/>
          </w:tcPr>
          <w:p w14:paraId="34F89CB7" w14:textId="77777777" w:rsidR="00E60A84" w:rsidRPr="00E77633" w:rsidRDefault="00E60A84" w:rsidP="00E60A84">
            <w:pPr>
              <w:ind w:firstLine="720"/>
              <w:jc w:val="both"/>
              <w:rPr>
                <w:rFonts w:ascii="Arial" w:hAnsi="Arial" w:cs="Arial"/>
                <w:sz w:val="22"/>
                <w:szCs w:val="22"/>
                <w:lang w:val="lv-LV"/>
              </w:rPr>
            </w:pPr>
            <w:r w:rsidRPr="00E77633">
              <w:rPr>
                <w:rFonts w:ascii="Arial" w:hAnsi="Arial" w:cs="Arial"/>
                <w:b/>
                <w:bCs/>
                <w:sz w:val="22"/>
                <w:szCs w:val="22"/>
                <w:lang w:val="lv-LV"/>
              </w:rPr>
              <w:t>Par 1L (balonā iepildītās gāzes litru) cenas norādīšanu</w:t>
            </w:r>
            <w:r w:rsidRPr="00E77633">
              <w:rPr>
                <w:rFonts w:ascii="Arial" w:hAnsi="Arial" w:cs="Arial"/>
                <w:sz w:val="22"/>
                <w:szCs w:val="22"/>
                <w:lang w:val="lv-LV"/>
              </w:rPr>
              <w:t xml:space="preserve"> – saskaņā ar punktu 1.7.1., tas nav matemātiski iespējams daudzās pozīcijās.</w:t>
            </w:r>
          </w:p>
          <w:p w14:paraId="3A73BF67" w14:textId="075EA1CB" w:rsidR="00E60A84" w:rsidRPr="000F5DDF" w:rsidRDefault="00E60A84" w:rsidP="00E60A84">
            <w:pPr>
              <w:pStyle w:val="Default"/>
              <w:jc w:val="both"/>
              <w:rPr>
                <w:rFonts w:ascii="Arial" w:hAnsi="Arial" w:cs="Arial"/>
                <w:b/>
                <w:bCs/>
                <w:sz w:val="22"/>
                <w:szCs w:val="22"/>
                <w:lang w:val="lv-LV"/>
              </w:rPr>
            </w:pPr>
            <w:r w:rsidRPr="000F5DDF">
              <w:rPr>
                <w:rFonts w:ascii="Arial" w:hAnsi="Arial" w:cs="Arial"/>
                <w:b/>
                <w:bCs/>
                <w:sz w:val="22"/>
                <w:szCs w:val="22"/>
                <w:lang w:val="lv-LV"/>
              </w:rPr>
              <w:t>Piemērs</w:t>
            </w:r>
            <w:r w:rsidRPr="000F5DDF">
              <w:rPr>
                <w:rFonts w:ascii="Arial" w:hAnsi="Arial" w:cs="Arial"/>
                <w:sz w:val="22"/>
                <w:szCs w:val="22"/>
                <w:lang w:val="lv-LV"/>
              </w:rPr>
              <w:t xml:space="preserve"> – skābeklis 50L, balonā ir 10,7m3 vai 10700 litri (pie 200bar spiediena) gāzes. Mazumtirdzniecības cena (saskaņā ar (..) cenrādi) par balonu – 19,47 EUR bez PVN. Tad 1 litra cena ir 19,47/10700=0,00182 EUR bez PVN.</w:t>
            </w:r>
          </w:p>
        </w:tc>
        <w:tc>
          <w:tcPr>
            <w:tcW w:w="4111" w:type="dxa"/>
          </w:tcPr>
          <w:p w14:paraId="0250838E" w14:textId="687AFB6E" w:rsidR="00E60A84" w:rsidRPr="007923FB" w:rsidRDefault="00E60A84" w:rsidP="00E60A84">
            <w:pPr>
              <w:jc w:val="both"/>
              <w:rPr>
                <w:rFonts w:ascii="Arial" w:hAnsi="Arial" w:cs="Arial"/>
                <w:bCs/>
                <w:sz w:val="22"/>
                <w:szCs w:val="22"/>
                <w:lang w:val="lv-LV"/>
              </w:rPr>
            </w:pPr>
            <w:r>
              <w:rPr>
                <w:rFonts w:ascii="Arial" w:hAnsi="Arial" w:cs="Arial"/>
                <w:bCs/>
                <w:sz w:val="22"/>
                <w:szCs w:val="22"/>
                <w:lang w:val="lv-LV"/>
              </w:rPr>
              <w:t>Lai nodrošinātu objektīvu piedāvājumu izvērtēšanu, tiek veikti precizējumi sarunu procedūras nolikumā, nosakot, ka cenas piedāvājums vienai vienībai jāiesniedz par kg/m</w:t>
            </w:r>
            <w:r w:rsidRPr="00622D42">
              <w:rPr>
                <w:rFonts w:ascii="Arial" w:hAnsi="Arial" w:cs="Arial"/>
                <w:bCs/>
                <w:sz w:val="22"/>
                <w:szCs w:val="22"/>
                <w:vertAlign w:val="superscript"/>
                <w:lang w:val="lv-LV"/>
              </w:rPr>
              <w:t>3</w:t>
            </w:r>
            <w:r>
              <w:rPr>
                <w:rFonts w:ascii="Arial" w:hAnsi="Arial" w:cs="Arial"/>
                <w:bCs/>
                <w:sz w:val="22"/>
                <w:szCs w:val="22"/>
                <w:lang w:val="lv-LV"/>
              </w:rPr>
              <w:t xml:space="preserve"> nevis litru (skat. precīzāk Grozījumus Nr.3).</w:t>
            </w:r>
          </w:p>
        </w:tc>
      </w:tr>
      <w:tr w:rsidR="00E60A84" w:rsidRPr="005A3CDF" w14:paraId="1863E49D" w14:textId="77777777" w:rsidTr="0093711E">
        <w:trPr>
          <w:trHeight w:val="2878"/>
        </w:trPr>
        <w:tc>
          <w:tcPr>
            <w:tcW w:w="564" w:type="dxa"/>
          </w:tcPr>
          <w:p w14:paraId="02324EFF" w14:textId="77777777" w:rsidR="00E60A84" w:rsidRPr="00E77633" w:rsidRDefault="00E60A84" w:rsidP="00E60A84">
            <w:pPr>
              <w:pStyle w:val="Default"/>
              <w:ind w:firstLine="164"/>
              <w:jc w:val="both"/>
              <w:rPr>
                <w:rFonts w:ascii="Arial" w:hAnsi="Arial" w:cs="Arial"/>
                <w:sz w:val="22"/>
                <w:szCs w:val="22"/>
                <w:lang w:val="lv-LV"/>
              </w:rPr>
            </w:pPr>
            <w:r w:rsidRPr="00E77633">
              <w:rPr>
                <w:rFonts w:ascii="Arial" w:hAnsi="Arial" w:cs="Arial"/>
                <w:sz w:val="22"/>
                <w:szCs w:val="22"/>
                <w:lang w:val="lv-LV"/>
              </w:rPr>
              <w:lastRenderedPageBreak/>
              <w:t>3.</w:t>
            </w:r>
          </w:p>
        </w:tc>
        <w:tc>
          <w:tcPr>
            <w:tcW w:w="4823" w:type="dxa"/>
          </w:tcPr>
          <w:p w14:paraId="5F0D48CD" w14:textId="41733F0A" w:rsidR="00E60A84" w:rsidRPr="00E77633" w:rsidRDefault="00E60A84" w:rsidP="00E60A84">
            <w:pPr>
              <w:pStyle w:val="Default"/>
              <w:jc w:val="both"/>
              <w:rPr>
                <w:rFonts w:ascii="Arial" w:hAnsi="Arial" w:cs="Arial"/>
                <w:sz w:val="22"/>
                <w:szCs w:val="22"/>
                <w:lang w:val="lv-LV"/>
              </w:rPr>
            </w:pPr>
            <w:r w:rsidRPr="00E77633">
              <w:rPr>
                <w:rFonts w:ascii="Arial" w:hAnsi="Arial" w:cs="Arial"/>
                <w:sz w:val="22"/>
                <w:szCs w:val="22"/>
                <w:lang w:val="lv-LV"/>
              </w:rPr>
              <w:t xml:space="preserve">Papildus vēlamies informēt, ka tādi gāzes baloni kā acetilēns, propāns, oglekļa dioksīds tiek pildīti uz svariem un gāzes daudzums balonā tiek norādīts </w:t>
            </w:r>
            <w:r w:rsidRPr="00E77633">
              <w:rPr>
                <w:rFonts w:ascii="Arial" w:hAnsi="Arial" w:cs="Arial"/>
                <w:sz w:val="22"/>
                <w:szCs w:val="22"/>
                <w:u w:val="single"/>
                <w:lang w:val="lv-LV"/>
              </w:rPr>
              <w:t>kg</w:t>
            </w:r>
            <w:r w:rsidRPr="00E77633">
              <w:rPr>
                <w:rFonts w:ascii="Arial" w:hAnsi="Arial" w:cs="Arial"/>
                <w:sz w:val="22"/>
                <w:szCs w:val="22"/>
                <w:lang w:val="lv-LV"/>
              </w:rPr>
              <w:t xml:space="preserve">. Gaisa gāzes (skābeklis, slāpeklis, argons, argona maisījumi) tiek pildīti zem spiediena un gāzes daudzums balonā tiek norādīts </w:t>
            </w:r>
            <w:r w:rsidRPr="00E77633">
              <w:rPr>
                <w:rFonts w:ascii="Arial" w:hAnsi="Arial" w:cs="Arial"/>
                <w:sz w:val="22"/>
                <w:szCs w:val="22"/>
                <w:u w:val="single"/>
                <w:lang w:val="lv-LV"/>
              </w:rPr>
              <w:t>m3</w:t>
            </w:r>
            <w:r w:rsidRPr="00E77633">
              <w:rPr>
                <w:rFonts w:ascii="Arial" w:hAnsi="Arial" w:cs="Arial"/>
                <w:sz w:val="22"/>
                <w:szCs w:val="22"/>
                <w:lang w:val="lv-LV"/>
              </w:rPr>
              <w:t>. Visas gāzes ir iespējams pārrēķināt litros, bet tādā gadījumā lūgums nodrošināt vienādus pārejas koeficientus (katrai gāzei tas atšķiras) visiem pretendentiem</w:t>
            </w:r>
            <w:r>
              <w:rPr>
                <w:rFonts w:ascii="Arial" w:hAnsi="Arial" w:cs="Arial"/>
                <w:sz w:val="22"/>
                <w:szCs w:val="22"/>
                <w:lang w:val="lv-LV"/>
              </w:rPr>
              <w:t>.</w:t>
            </w:r>
          </w:p>
        </w:tc>
        <w:tc>
          <w:tcPr>
            <w:tcW w:w="4111" w:type="dxa"/>
          </w:tcPr>
          <w:p w14:paraId="4173F3FC" w14:textId="31874E65" w:rsidR="00E60A84" w:rsidRPr="001912D1" w:rsidRDefault="00E60A84" w:rsidP="00E60A84">
            <w:pPr>
              <w:jc w:val="both"/>
              <w:rPr>
                <w:rFonts w:ascii="Arial" w:hAnsi="Arial" w:cs="Arial"/>
                <w:sz w:val="22"/>
                <w:szCs w:val="22"/>
                <w:lang w:val="lv-LV"/>
              </w:rPr>
            </w:pPr>
            <w:r w:rsidRPr="00B14631">
              <w:rPr>
                <w:rFonts w:ascii="Arial" w:hAnsi="Arial" w:cs="Arial"/>
                <w:bCs/>
                <w:sz w:val="22"/>
                <w:szCs w:val="22"/>
                <w:lang w:val="lv-LV"/>
              </w:rPr>
              <w:t xml:space="preserve">Ņemot </w:t>
            </w:r>
            <w:r>
              <w:rPr>
                <w:rFonts w:ascii="Arial" w:hAnsi="Arial" w:cs="Arial"/>
                <w:bCs/>
                <w:sz w:val="22"/>
                <w:szCs w:val="22"/>
                <w:lang w:val="lv-LV"/>
              </w:rPr>
              <w:t>vērā grozījumus, par kuriem minēts šī skaidrojuma 2.atbildē, p</w:t>
            </w:r>
            <w:r>
              <w:rPr>
                <w:rFonts w:ascii="Arial" w:hAnsi="Arial" w:cs="Arial"/>
                <w:bCs/>
                <w:sz w:val="22"/>
                <w:szCs w:val="22"/>
                <w:u w:val="single"/>
                <w:lang w:val="lv-LV"/>
              </w:rPr>
              <w:t>retendentam, iesniedzot piedāvājumu, jānorāda inventāra tilpumu, tā cenu, un cena par nosacīto vienību (kg/m</w:t>
            </w:r>
            <w:r w:rsidRPr="002B54DD">
              <w:rPr>
                <w:rFonts w:ascii="Arial" w:hAnsi="Arial" w:cs="Arial"/>
                <w:bCs/>
                <w:sz w:val="22"/>
                <w:szCs w:val="22"/>
                <w:u w:val="single"/>
                <w:vertAlign w:val="superscript"/>
                <w:lang w:val="lv-LV"/>
              </w:rPr>
              <w:t>3</w:t>
            </w:r>
            <w:r>
              <w:rPr>
                <w:rFonts w:ascii="Arial" w:hAnsi="Arial" w:cs="Arial"/>
                <w:bCs/>
                <w:sz w:val="22"/>
                <w:szCs w:val="22"/>
                <w:u w:val="single"/>
                <w:lang w:val="lv-LV"/>
              </w:rPr>
              <w:t>)</w:t>
            </w:r>
            <w:r>
              <w:rPr>
                <w:rFonts w:ascii="Arial" w:hAnsi="Arial" w:cs="Arial"/>
                <w:bCs/>
                <w:sz w:val="22"/>
                <w:szCs w:val="22"/>
                <w:lang w:val="lv-LV"/>
              </w:rPr>
              <w:t>, ņemot vērā konkrētās preces tilpumu un svaru.</w:t>
            </w:r>
          </w:p>
        </w:tc>
      </w:tr>
      <w:bookmarkEnd w:id="1"/>
      <w:bookmarkEnd w:id="2"/>
    </w:tbl>
    <w:p w14:paraId="4B461B40" w14:textId="77777777" w:rsidR="00E77633" w:rsidRPr="006336B2" w:rsidRDefault="00E77633" w:rsidP="00E77633">
      <w:pPr>
        <w:rPr>
          <w:lang w:val="lv-LV"/>
        </w:rPr>
      </w:pPr>
    </w:p>
    <w:sectPr w:rsidR="00E77633" w:rsidRPr="006336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F1"/>
    <w:rsid w:val="000F5DDF"/>
    <w:rsid w:val="001912D1"/>
    <w:rsid w:val="001B49A6"/>
    <w:rsid w:val="002444BC"/>
    <w:rsid w:val="002B54DD"/>
    <w:rsid w:val="003571AC"/>
    <w:rsid w:val="004662A4"/>
    <w:rsid w:val="005A3CDF"/>
    <w:rsid w:val="0060579B"/>
    <w:rsid w:val="006123BD"/>
    <w:rsid w:val="00622D42"/>
    <w:rsid w:val="007923FB"/>
    <w:rsid w:val="0084163C"/>
    <w:rsid w:val="00844527"/>
    <w:rsid w:val="008E2E91"/>
    <w:rsid w:val="0093711E"/>
    <w:rsid w:val="0099425D"/>
    <w:rsid w:val="00A5526A"/>
    <w:rsid w:val="00B14631"/>
    <w:rsid w:val="00D74DF1"/>
    <w:rsid w:val="00E60A84"/>
    <w:rsid w:val="00E77633"/>
    <w:rsid w:val="00EC4116"/>
    <w:rsid w:val="00F718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3346"/>
  <w15:chartTrackingRefBased/>
  <w15:docId w15:val="{39938F0C-5D4D-4BAD-8BAA-6C9845B5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633"/>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7633"/>
    <w:pPr>
      <w:spacing w:before="100" w:beforeAutospacing="1" w:after="100" w:afterAutospacing="1"/>
    </w:pPr>
    <w:rPr>
      <w:color w:val="000000"/>
      <w:sz w:val="24"/>
      <w:szCs w:val="24"/>
      <w:lang w:val="lv-LV"/>
    </w:rPr>
  </w:style>
  <w:style w:type="paragraph" w:customStyle="1" w:styleId="Default">
    <w:name w:val="Default"/>
    <w:rsid w:val="00E77633"/>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E7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7633"/>
    <w:rPr>
      <w:color w:val="0000FF"/>
      <w:u w:val="single"/>
    </w:rPr>
  </w:style>
  <w:style w:type="character" w:styleId="UnresolvedMention">
    <w:name w:val="Unresolved Mention"/>
    <w:uiPriority w:val="99"/>
    <w:semiHidden/>
    <w:unhideWhenUsed/>
    <w:rsid w:val="00E77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1693</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19</cp:revision>
  <dcterms:created xsi:type="dcterms:W3CDTF">2021-02-18T09:05:00Z</dcterms:created>
  <dcterms:modified xsi:type="dcterms:W3CDTF">2021-02-22T14:49:00Z</dcterms:modified>
</cp:coreProperties>
</file>