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8D73" w14:textId="77777777" w:rsidR="003C486F" w:rsidRDefault="003C486F" w:rsidP="003C48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5D244CBE" w14:textId="77777777" w:rsidR="003C486F" w:rsidRPr="002A4749" w:rsidRDefault="003C486F" w:rsidP="003C48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54A0F84D" w14:textId="77777777" w:rsidR="003C486F" w:rsidRPr="002A4749" w:rsidRDefault="003C486F" w:rsidP="003C48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3E6295AA" w14:textId="77777777" w:rsidR="003C486F" w:rsidRPr="002A4749" w:rsidRDefault="003C486F" w:rsidP="003C48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19.aprīļa 2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67145F9D" w14:textId="77777777" w:rsidR="003C486F" w:rsidRPr="00E20C14" w:rsidRDefault="003C486F" w:rsidP="003C48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13A50778" w14:textId="77777777" w:rsidR="003C486F" w:rsidRPr="00EE0113" w:rsidRDefault="003C486F" w:rsidP="003C486F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>Sarunu procedūrā ar publikāciju</w:t>
      </w:r>
      <w:r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Pr="00EE0113">
        <w:rPr>
          <w:rFonts w:ascii="Arial" w:hAnsi="Arial" w:cs="Arial"/>
          <w:b/>
          <w:sz w:val="22"/>
          <w:szCs w:val="22"/>
          <w:lang w:val="lv-LV"/>
        </w:rPr>
        <w:t>“</w:t>
      </w:r>
      <w:r w:rsidRPr="00230454">
        <w:rPr>
          <w:rFonts w:ascii="Arial" w:hAnsi="Arial" w:cs="Arial"/>
          <w:b/>
          <w:sz w:val="22"/>
          <w:lang w:val="lv-LV"/>
        </w:rPr>
        <w:t>Akumulatoru bateriju un uzlādes ierīču nomaiņa vilces apakšstacijās</w:t>
      </w:r>
      <w:r w:rsidRPr="00EE0113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3D1C3C9E" w14:textId="77777777" w:rsidR="003C486F" w:rsidRPr="00EE0113" w:rsidRDefault="003C486F" w:rsidP="003C486F">
      <w:pPr>
        <w:pStyle w:val="Default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EE0113">
        <w:rPr>
          <w:rFonts w:ascii="Arial" w:hAnsi="Arial" w:cs="Arial"/>
          <w:b/>
          <w:sz w:val="22"/>
          <w:szCs w:val="22"/>
          <w:lang w:val="lv-LV"/>
        </w:rPr>
        <w:t xml:space="preserve"> (turpmāk – sarunu procedūra)</w:t>
      </w:r>
    </w:p>
    <w:p w14:paraId="7F4E51CF" w14:textId="77777777" w:rsidR="003C486F" w:rsidRPr="00EE0113" w:rsidRDefault="003C486F" w:rsidP="003C486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7AA57F49" w14:textId="77777777" w:rsidR="003C486F" w:rsidRPr="00EE0113" w:rsidRDefault="003C486F" w:rsidP="003C486F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3A1114EC" w14:textId="77777777" w:rsidR="003C486F" w:rsidRPr="008E100F" w:rsidRDefault="003C486F" w:rsidP="003C486F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 atbilde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</w:t>
      </w:r>
      <w:r>
        <w:rPr>
          <w:rFonts w:ascii="Arial" w:hAnsi="Arial" w:cs="Arial"/>
          <w:bCs/>
          <w:sz w:val="22"/>
          <w:szCs w:val="22"/>
          <w:lang w:val="lv-LV"/>
        </w:rPr>
        <w:t>ā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piegādātāj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jautājum</w:t>
      </w:r>
      <w:r>
        <w:rPr>
          <w:rFonts w:ascii="Arial" w:hAnsi="Arial" w:cs="Arial"/>
          <w:bCs/>
          <w:sz w:val="22"/>
          <w:szCs w:val="22"/>
          <w:lang w:val="lv-LV"/>
        </w:rPr>
        <w:t>a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</w:t>
      </w:r>
      <w:r>
        <w:rPr>
          <w:rFonts w:ascii="Arial" w:hAnsi="Arial" w:cs="Arial"/>
          <w:bCs/>
          <w:sz w:val="22"/>
          <w:szCs w:val="22"/>
          <w:lang w:val="lv-LV"/>
        </w:rPr>
        <w:t>s 19.04.2021</w:t>
      </w:r>
      <w:r w:rsidRPr="0021184E">
        <w:rPr>
          <w:rFonts w:ascii="Arial" w:hAnsi="Arial" w:cs="Arial"/>
          <w:bCs/>
          <w:color w:val="auto"/>
          <w:sz w:val="22"/>
          <w:szCs w:val="22"/>
          <w:lang w:val="lv-LV"/>
        </w:rPr>
        <w:t>.</w:t>
      </w:r>
      <w:r w:rsidRPr="008E100F">
        <w:rPr>
          <w:rFonts w:ascii="Arial" w:hAnsi="Arial" w:cs="Arial"/>
          <w:bCs/>
          <w:sz w:val="22"/>
          <w:szCs w:val="22"/>
          <w:lang w:val="lv-LV"/>
        </w:rPr>
        <w:t>):</w:t>
      </w:r>
    </w:p>
    <w:p w14:paraId="3C5C6FE3" w14:textId="77777777" w:rsidR="003C486F" w:rsidRPr="00E20C14" w:rsidRDefault="003C486F" w:rsidP="003C48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9933" w:type="dxa"/>
        <w:tblInd w:w="-289" w:type="dxa"/>
        <w:tblLook w:val="04A0" w:firstRow="1" w:lastRow="0" w:firstColumn="1" w:lastColumn="0" w:noHBand="0" w:noVBand="1"/>
      </w:tblPr>
      <w:tblGrid>
        <w:gridCol w:w="421"/>
        <w:gridCol w:w="5108"/>
        <w:gridCol w:w="4404"/>
      </w:tblGrid>
      <w:tr w:rsidR="003C486F" w:rsidRPr="00EE0113" w14:paraId="176A1926" w14:textId="77777777" w:rsidTr="00514796">
        <w:tc>
          <w:tcPr>
            <w:tcW w:w="421" w:type="dxa"/>
          </w:tcPr>
          <w:p w14:paraId="413D1C40" w14:textId="77777777" w:rsidR="003C486F" w:rsidRPr="00EE0113" w:rsidRDefault="003C486F" w:rsidP="00514796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  <w:tc>
          <w:tcPr>
            <w:tcW w:w="5108" w:type="dxa"/>
          </w:tcPr>
          <w:p w14:paraId="60719359" w14:textId="77777777" w:rsidR="003C486F" w:rsidRPr="00483333" w:rsidRDefault="003C486F" w:rsidP="00514796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bCs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404" w:type="dxa"/>
          </w:tcPr>
          <w:p w14:paraId="002E9DD8" w14:textId="77777777" w:rsidR="003C486F" w:rsidRPr="00483333" w:rsidRDefault="003C486F" w:rsidP="0051479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>Atbilde</w:t>
            </w:r>
          </w:p>
        </w:tc>
      </w:tr>
      <w:tr w:rsidR="003C486F" w:rsidRPr="00880178" w14:paraId="703603E9" w14:textId="77777777" w:rsidTr="00514796">
        <w:tc>
          <w:tcPr>
            <w:tcW w:w="421" w:type="dxa"/>
          </w:tcPr>
          <w:p w14:paraId="5C538AB1" w14:textId="77777777" w:rsidR="003C486F" w:rsidRPr="00274BED" w:rsidRDefault="003C486F" w:rsidP="0051479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274BED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1.</w:t>
            </w:r>
          </w:p>
        </w:tc>
        <w:tc>
          <w:tcPr>
            <w:tcW w:w="5108" w:type="dxa"/>
          </w:tcPr>
          <w:p w14:paraId="0BFC7FE0" w14:textId="77777777" w:rsidR="003C486F" w:rsidRPr="00274BED" w:rsidRDefault="003C486F" w:rsidP="00514796">
            <w:pPr>
              <w:ind w:firstLine="470"/>
              <w:jc w:val="both"/>
              <w:rPr>
                <w:rFonts w:ascii="Arial" w:hAnsi="Arial" w:cs="Arial"/>
                <w:sz w:val="22"/>
                <w:szCs w:val="22"/>
                <w:lang w:val="lv-LV" w:bidi="lo-LA"/>
              </w:rPr>
            </w:pPr>
            <w:r w:rsidRPr="00274BED">
              <w:rPr>
                <w:rFonts w:ascii="Arial" w:hAnsi="Arial" w:cs="Arial"/>
                <w:sz w:val="22"/>
                <w:szCs w:val="22"/>
                <w:lang w:val="lv-LV"/>
              </w:rPr>
              <w:t>Ņemot vērā dažādu objektu tehnisk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as</w:t>
            </w:r>
            <w:r w:rsidRPr="00274BED">
              <w:rPr>
                <w:rFonts w:ascii="Arial" w:hAnsi="Arial" w:cs="Arial"/>
                <w:sz w:val="22"/>
                <w:szCs w:val="22"/>
                <w:lang w:val="lv-LV"/>
              </w:rPr>
              <w:t xml:space="preserve"> prasības atšķirības (prasībās katram objektam ir dažādas: tiek prasītas dažādas jaudas uzlādes iekārtas, kā arī atšķiras bateriju tipi un nominālā kapacitāte), katra objekta izbūves izmaksas  arī būs dažādas. Nolikumā esoša finanšu piedāvājuma forma paredz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Pr="00274BED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ka</w:t>
            </w:r>
            <w:r w:rsidRPr="00274BED">
              <w:rPr>
                <w:rFonts w:ascii="Arial" w:hAnsi="Arial" w:cs="Arial"/>
                <w:sz w:val="22"/>
                <w:szCs w:val="22"/>
                <w:lang w:val="lv-LV"/>
              </w:rPr>
              <w:t xml:space="preserve"> visu objektu izmaksas ir vienādas (2. pielikums. Finanšu piedāvājuma tabulā). Pēc esošas tabulas nav iespējams sarakstīt katra objekta izmaksas atsevišķi. Vai ir iespējams nomainīt pielikuma Nr. 2 finanšu piedāvājuma tabulu, lai varētu veikt katra objekta finanšu piedāvājumu atsevišķi?   </w:t>
            </w:r>
          </w:p>
        </w:tc>
        <w:tc>
          <w:tcPr>
            <w:tcW w:w="4404" w:type="dxa"/>
          </w:tcPr>
          <w:p w14:paraId="70C27CAE" w14:textId="77777777" w:rsidR="003C486F" w:rsidRPr="00274BED" w:rsidRDefault="003C486F" w:rsidP="00514796">
            <w:pPr>
              <w:pStyle w:val="Default"/>
              <w:ind w:firstLine="136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483333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Sarunu procedūras nolikums tiek papildināts ar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Finanšu piedāvājumu, veicot atbilstošus grozījumus sarunu procedūras nolikuma dokumentos</w:t>
            </w:r>
            <w:r w:rsidRPr="00483333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(skat.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 xml:space="preserve"> </w:t>
            </w:r>
            <w:r w:rsidRPr="00483333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sarunu procedūras nolikumam Grozījumus Nr.1).</w:t>
            </w:r>
          </w:p>
        </w:tc>
      </w:tr>
    </w:tbl>
    <w:p w14:paraId="634106A4" w14:textId="77777777" w:rsidR="003C486F" w:rsidRPr="003947E4" w:rsidRDefault="003C486F" w:rsidP="003C486F">
      <w:pPr>
        <w:rPr>
          <w:lang w:val="lv-LV"/>
        </w:rPr>
      </w:pPr>
    </w:p>
    <w:p w14:paraId="5F163C33" w14:textId="77777777" w:rsidR="000F580B" w:rsidRPr="003C486F" w:rsidRDefault="000F580B" w:rsidP="003C486F">
      <w:pPr>
        <w:rPr>
          <w:lang w:val="lv-LV"/>
        </w:rPr>
      </w:pPr>
      <w:bookmarkStart w:id="0" w:name="_GoBack"/>
      <w:bookmarkEnd w:id="0"/>
    </w:p>
    <w:sectPr w:rsidR="000F580B" w:rsidRPr="003C4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0B"/>
    <w:rsid w:val="000F580B"/>
    <w:rsid w:val="00274BED"/>
    <w:rsid w:val="003C486F"/>
    <w:rsid w:val="004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3F0CA"/>
  <w15:chartTrackingRefBased/>
  <w15:docId w15:val="{8D8071CD-B677-43F8-9201-C7B961D2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aliases w:val="CV table"/>
    <w:basedOn w:val="TableNormal"/>
    <w:uiPriority w:val="39"/>
    <w:rsid w:val="00274BE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2021-04-19T09:00:00Z</dcterms:created>
  <dcterms:modified xsi:type="dcterms:W3CDTF">2021-04-19T12:47:00Z</dcterms:modified>
</cp:coreProperties>
</file>