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1F05" w14:textId="77777777" w:rsidR="008C5F48" w:rsidRPr="00AA47B5" w:rsidRDefault="008C5F48" w:rsidP="008C5F48">
      <w:pPr>
        <w:pStyle w:val="Default"/>
        <w:jc w:val="right"/>
        <w:rPr>
          <w:lang w:val="lv-LV"/>
        </w:rPr>
      </w:pPr>
      <w:r w:rsidRPr="00AA47B5">
        <w:rPr>
          <w:lang w:val="lv-LV"/>
        </w:rPr>
        <w:t xml:space="preserve">APSTIPRINĀTS </w:t>
      </w:r>
    </w:p>
    <w:p w14:paraId="6354C19B" w14:textId="77777777" w:rsidR="008C5F48" w:rsidRPr="00AA47B5" w:rsidRDefault="008C5F48" w:rsidP="008C5F48">
      <w:pPr>
        <w:pStyle w:val="Default"/>
        <w:jc w:val="right"/>
        <w:rPr>
          <w:lang w:val="lv-LV"/>
        </w:rPr>
      </w:pPr>
      <w:r w:rsidRPr="00AA47B5">
        <w:rPr>
          <w:lang w:val="lv-LV"/>
        </w:rPr>
        <w:t>ar VAS “Latvijas dzelzceļš”</w:t>
      </w:r>
      <w:r>
        <w:rPr>
          <w:lang w:val="lv-LV"/>
        </w:rPr>
        <w:t xml:space="preserve"> </w:t>
      </w:r>
      <w:r w:rsidRPr="00AA47B5">
        <w:rPr>
          <w:lang w:val="lv-LV"/>
        </w:rPr>
        <w:t xml:space="preserve">iepirkuma komisijas </w:t>
      </w:r>
    </w:p>
    <w:p w14:paraId="45943964" w14:textId="6B7E9F72" w:rsidR="008C5F48" w:rsidRPr="00F26C44" w:rsidRDefault="008C5F48" w:rsidP="008C5F48">
      <w:pPr>
        <w:pStyle w:val="Default"/>
        <w:jc w:val="right"/>
        <w:rPr>
          <w:lang w:val="lv-LV"/>
        </w:rPr>
      </w:pPr>
      <w:r w:rsidRPr="00AA47B5">
        <w:rPr>
          <w:lang w:val="lv-LV"/>
        </w:rPr>
        <w:t xml:space="preserve">2020.gada </w:t>
      </w:r>
      <w:r w:rsidR="003E13DC">
        <w:rPr>
          <w:lang w:val="lv-LV"/>
        </w:rPr>
        <w:t>30</w:t>
      </w:r>
      <w:r>
        <w:rPr>
          <w:lang w:val="lv-LV"/>
        </w:rPr>
        <w:t>.</w:t>
      </w:r>
      <w:r w:rsidRPr="00F26C44">
        <w:rPr>
          <w:lang w:val="lv-LV"/>
        </w:rPr>
        <w:t>oktobra 2.sēdes protokolu</w:t>
      </w:r>
    </w:p>
    <w:p w14:paraId="626A8240" w14:textId="77777777" w:rsidR="008C5F48" w:rsidRPr="00F26C44" w:rsidRDefault="008C5F48" w:rsidP="008C5F48">
      <w:pPr>
        <w:pStyle w:val="Default"/>
        <w:jc w:val="right"/>
        <w:rPr>
          <w:lang w:val="lv-LV"/>
        </w:rPr>
      </w:pPr>
    </w:p>
    <w:p w14:paraId="2B13B1AF" w14:textId="77777777" w:rsidR="008C5F48" w:rsidRPr="00F26C44" w:rsidRDefault="008C5F48" w:rsidP="008C5F48">
      <w:pPr>
        <w:pStyle w:val="Default"/>
        <w:jc w:val="right"/>
        <w:rPr>
          <w:lang w:val="lv-LV"/>
        </w:rPr>
      </w:pPr>
    </w:p>
    <w:p w14:paraId="2D9457A6" w14:textId="77777777" w:rsidR="008C5F48" w:rsidRDefault="008C5F48" w:rsidP="008C5F48">
      <w:pPr>
        <w:pStyle w:val="Default"/>
        <w:ind w:right="90"/>
        <w:jc w:val="center"/>
        <w:rPr>
          <w:b/>
          <w:lang w:val="lv-LV"/>
        </w:rPr>
      </w:pPr>
      <w:bookmarkStart w:id="0" w:name="_Hlk54945378"/>
      <w:r w:rsidRPr="00F26C44">
        <w:rPr>
          <w:b/>
          <w:lang w:val="lv-LV"/>
        </w:rPr>
        <w:t>Sarunu procedūrā ar publikāciju “</w:t>
      </w:r>
      <w:r w:rsidRPr="00A8063D">
        <w:rPr>
          <w:b/>
          <w:bCs/>
          <w:lang w:val="lv-LV"/>
        </w:rPr>
        <w:t>Dobeles dzelzceļa stacijas</w:t>
      </w:r>
      <w:r w:rsidRPr="00A8063D">
        <w:rPr>
          <w:b/>
          <w:bCs/>
          <w:color w:val="FF0000"/>
          <w:lang w:val="lv-LV"/>
        </w:rPr>
        <w:t xml:space="preserve"> </w:t>
      </w:r>
      <w:r w:rsidRPr="00A8063D">
        <w:rPr>
          <w:b/>
          <w:bCs/>
          <w:lang w:val="lv-LV"/>
        </w:rPr>
        <w:t>pieslēguma centralizētajiem kanalizācijas tīkliem izbūve</w:t>
      </w:r>
      <w:r w:rsidRPr="00F26C44">
        <w:rPr>
          <w:b/>
          <w:lang w:val="lv-LV"/>
        </w:rPr>
        <w:t>”</w:t>
      </w:r>
    </w:p>
    <w:p w14:paraId="2EF34350" w14:textId="77777777" w:rsidR="008C5F48" w:rsidRPr="00F26C44" w:rsidRDefault="008C5F48" w:rsidP="008C5F48">
      <w:pPr>
        <w:pStyle w:val="Default"/>
        <w:ind w:left="567" w:right="799"/>
        <w:jc w:val="center"/>
        <w:rPr>
          <w:b/>
          <w:lang w:val="lv-LV"/>
        </w:rPr>
      </w:pPr>
      <w:r>
        <w:rPr>
          <w:b/>
          <w:lang w:val="lv-LV"/>
        </w:rPr>
        <w:t>(turpmāk – “sarunu procedūra”)</w:t>
      </w:r>
    </w:p>
    <w:bookmarkEnd w:id="0"/>
    <w:p w14:paraId="456A1CE5" w14:textId="77777777" w:rsidR="008C5F48" w:rsidRPr="00F26C44" w:rsidRDefault="008C5F48" w:rsidP="008C5F48">
      <w:pPr>
        <w:pStyle w:val="Default"/>
        <w:jc w:val="center"/>
        <w:rPr>
          <w:b/>
          <w:lang w:val="lv-LV"/>
        </w:rPr>
      </w:pPr>
    </w:p>
    <w:p w14:paraId="12E345F3" w14:textId="77777777" w:rsidR="008C5F48" w:rsidRPr="00F26C44" w:rsidRDefault="008C5F48" w:rsidP="008C5F48">
      <w:pPr>
        <w:pStyle w:val="Default"/>
        <w:jc w:val="center"/>
        <w:rPr>
          <w:b/>
          <w:lang w:val="lv-LV"/>
        </w:rPr>
      </w:pPr>
      <w:r w:rsidRPr="00F26C44">
        <w:rPr>
          <w:b/>
          <w:lang w:val="lv-LV"/>
        </w:rPr>
        <w:t xml:space="preserve">ieinteresētā piegādātāja jautājums (saņemts </w:t>
      </w:r>
      <w:r>
        <w:rPr>
          <w:b/>
          <w:lang w:val="lv-LV"/>
        </w:rPr>
        <w:t>30</w:t>
      </w:r>
      <w:r w:rsidRPr="00F26C44">
        <w:rPr>
          <w:b/>
          <w:lang w:val="lv-LV"/>
        </w:rPr>
        <w:t>.10.2020.) un iepirkuma komisijas sniegtā atbilde:</w:t>
      </w:r>
    </w:p>
    <w:p w14:paraId="33FF3D11" w14:textId="77777777" w:rsidR="008C5F48" w:rsidRPr="00F26C44" w:rsidRDefault="008C5F48" w:rsidP="008C5F48">
      <w:pPr>
        <w:pStyle w:val="Default"/>
        <w:jc w:val="center"/>
        <w:rPr>
          <w:b/>
          <w:lang w:val="lv-LV"/>
        </w:rPr>
      </w:pPr>
    </w:p>
    <w:p w14:paraId="61D67B15" w14:textId="77777777" w:rsidR="008C5F48" w:rsidRPr="00F26C44" w:rsidRDefault="008C5F48" w:rsidP="008C5F48">
      <w:pPr>
        <w:pStyle w:val="Default"/>
        <w:jc w:val="center"/>
        <w:rPr>
          <w:rFonts w:ascii="Times New Roman Bold" w:hAnsi="Times New Roman Bold"/>
          <w:b/>
          <w:smallCaps/>
          <w:lang w:val="lv-LV"/>
        </w:rPr>
      </w:pPr>
      <w:r w:rsidRPr="00F26C44">
        <w:rPr>
          <w:rFonts w:ascii="Times New Roman Bold" w:hAnsi="Times New Roman Bold"/>
          <w:b/>
          <w:smallCaps/>
          <w:lang w:val="lv-LV"/>
        </w:rPr>
        <w:t>Skaidrojums Nr.1</w:t>
      </w:r>
    </w:p>
    <w:p w14:paraId="7C3CC086" w14:textId="77777777" w:rsidR="008C5F48" w:rsidRPr="00F26C44" w:rsidRDefault="008C5F48" w:rsidP="008C5F48">
      <w:pPr>
        <w:pStyle w:val="Default"/>
        <w:jc w:val="center"/>
        <w:rPr>
          <w:rFonts w:ascii="Times New Roman Bold" w:hAnsi="Times New Roman Bold"/>
          <w:b/>
          <w:smallCaps/>
          <w:lang w:val="lv-LV"/>
        </w:rPr>
      </w:pPr>
    </w:p>
    <w:tbl>
      <w:tblPr>
        <w:tblStyle w:val="TableGrid"/>
        <w:tblW w:w="9067" w:type="dxa"/>
        <w:tblLook w:val="04A0" w:firstRow="1" w:lastRow="0" w:firstColumn="1" w:lastColumn="0" w:noHBand="0" w:noVBand="1"/>
      </w:tblPr>
      <w:tblGrid>
        <w:gridCol w:w="4148"/>
        <w:gridCol w:w="4919"/>
      </w:tblGrid>
      <w:tr w:rsidR="008C5F48" w:rsidRPr="00F26C44" w14:paraId="336CC4AF" w14:textId="77777777" w:rsidTr="00B21220">
        <w:tc>
          <w:tcPr>
            <w:tcW w:w="4148" w:type="dxa"/>
          </w:tcPr>
          <w:p w14:paraId="41B2C419" w14:textId="77777777" w:rsidR="008C5F48" w:rsidRPr="00F26C44" w:rsidRDefault="008C5F48" w:rsidP="00B21220">
            <w:pPr>
              <w:pStyle w:val="Default"/>
              <w:jc w:val="center"/>
              <w:rPr>
                <w:rFonts w:ascii="Times New Roman Bold" w:hAnsi="Times New Roman Bold"/>
                <w:bCs/>
                <w:lang w:val="lv-LV"/>
              </w:rPr>
            </w:pPr>
            <w:r w:rsidRPr="00F26C44">
              <w:rPr>
                <w:rFonts w:ascii="Times New Roman Bold" w:hAnsi="Times New Roman Bold"/>
                <w:bCs/>
                <w:lang w:val="lv-LV"/>
              </w:rPr>
              <w:t>Jautājums</w:t>
            </w:r>
          </w:p>
        </w:tc>
        <w:tc>
          <w:tcPr>
            <w:tcW w:w="4919" w:type="dxa"/>
          </w:tcPr>
          <w:p w14:paraId="0219D0D2" w14:textId="77777777" w:rsidR="008C5F48" w:rsidRPr="00F26C44" w:rsidRDefault="008C5F48" w:rsidP="00B21220">
            <w:pPr>
              <w:pStyle w:val="Default"/>
              <w:jc w:val="center"/>
              <w:rPr>
                <w:rFonts w:ascii="Times New Roman Bold" w:hAnsi="Times New Roman Bold"/>
                <w:b/>
                <w:lang w:val="lv-LV"/>
              </w:rPr>
            </w:pPr>
            <w:r w:rsidRPr="00F26C44">
              <w:rPr>
                <w:rFonts w:ascii="Times New Roman Bold" w:hAnsi="Times New Roman Bold"/>
                <w:b/>
                <w:lang w:val="lv-LV"/>
              </w:rPr>
              <w:t>Atbilde</w:t>
            </w:r>
          </w:p>
        </w:tc>
      </w:tr>
      <w:tr w:rsidR="008C5F48" w:rsidRPr="00F26C44" w14:paraId="4875C6EE" w14:textId="77777777" w:rsidTr="00B21220">
        <w:tc>
          <w:tcPr>
            <w:tcW w:w="4148" w:type="dxa"/>
          </w:tcPr>
          <w:p w14:paraId="6EC2307C" w14:textId="77777777" w:rsidR="008C5F48" w:rsidRPr="00F26C44" w:rsidRDefault="008C5F48" w:rsidP="00B21220">
            <w:pPr>
              <w:pStyle w:val="Default"/>
              <w:rPr>
                <w:rFonts w:ascii="Times New Roman Bold" w:hAnsi="Times New Roman Bold"/>
                <w:bCs/>
                <w:lang w:val="lv-LV"/>
              </w:rPr>
            </w:pPr>
            <w:r>
              <w:rPr>
                <w:rFonts w:ascii="Times New Roman Bold" w:hAnsi="Times New Roman Bold"/>
                <w:bCs/>
                <w:lang w:val="lv-LV"/>
              </w:rPr>
              <w:t>1.jautājums</w:t>
            </w:r>
          </w:p>
        </w:tc>
        <w:tc>
          <w:tcPr>
            <w:tcW w:w="4919" w:type="dxa"/>
          </w:tcPr>
          <w:p w14:paraId="2ACAFDC2" w14:textId="77777777" w:rsidR="008C5F48" w:rsidRPr="00F26C44" w:rsidRDefault="008C5F48" w:rsidP="00B21220">
            <w:pPr>
              <w:pStyle w:val="Default"/>
              <w:rPr>
                <w:rFonts w:ascii="Times New Roman Bold" w:hAnsi="Times New Roman Bold"/>
                <w:b/>
                <w:lang w:val="lv-LV"/>
              </w:rPr>
            </w:pPr>
            <w:r>
              <w:rPr>
                <w:rFonts w:ascii="Times New Roman Bold" w:hAnsi="Times New Roman Bold"/>
                <w:b/>
                <w:lang w:val="lv-LV"/>
              </w:rPr>
              <w:t>1.atbilde</w:t>
            </w:r>
          </w:p>
        </w:tc>
      </w:tr>
      <w:tr w:rsidR="008C5F48" w:rsidRPr="00A8063D" w14:paraId="73A88740" w14:textId="77777777" w:rsidTr="00B21220">
        <w:tc>
          <w:tcPr>
            <w:tcW w:w="4148" w:type="dxa"/>
          </w:tcPr>
          <w:p w14:paraId="695D6EED" w14:textId="77777777" w:rsidR="008C5F48" w:rsidRPr="00A8063D" w:rsidRDefault="008C5F48" w:rsidP="00B21220">
            <w:pPr>
              <w:pStyle w:val="Default"/>
              <w:jc w:val="both"/>
              <w:rPr>
                <w:bCs/>
                <w:lang w:val="lv-LV"/>
              </w:rPr>
            </w:pPr>
            <w:r w:rsidRPr="00A8063D">
              <w:rPr>
                <w:bCs/>
                <w:lang w:val="lv-LV"/>
              </w:rPr>
              <w:t xml:space="preserve">Sarunu procedūras </w:t>
            </w:r>
            <w:r>
              <w:rPr>
                <w:bCs/>
                <w:lang w:val="lv-LV"/>
              </w:rPr>
              <w:t xml:space="preserve">ar publikāciju nolikuma 1.7.1.punktā minēts, ka Finanšu piedāvājumā, norādot cenas, skaitļi jānoapaļo </w:t>
            </w:r>
            <w:r>
              <w:rPr>
                <w:bCs/>
                <w:u w:val="single"/>
                <w:lang w:val="lv-LV"/>
              </w:rPr>
              <w:t>līdz tūkstošdaļām (trīs cipari aiz komata)</w:t>
            </w:r>
            <w:r>
              <w:rPr>
                <w:bCs/>
                <w:lang w:val="lv-LV"/>
              </w:rPr>
              <w:t>. Lūdzam skaidrot, vai šajā nolikuma punktā nav ieviesusies kļūda un vai pretendents drīkst ciparus noapaļot līdz diviem cipariem aiz komata, ievērojot matemātiskos noapaļošanas nosacījumus? Papildus vēlamies norādīt, ka gadījumā, ja tāmē norādītās cenas ir vairāk kā ar diviem zīmīgiem cipariem aiz komata, tad gatavojot izpildes formu 2, uz noapaļošanu rodas kļūdas vairāku centu apmērā.</w:t>
            </w:r>
          </w:p>
        </w:tc>
        <w:tc>
          <w:tcPr>
            <w:tcW w:w="4919" w:type="dxa"/>
          </w:tcPr>
          <w:p w14:paraId="79A7BF9B" w14:textId="7FF668A9" w:rsidR="003E13DC" w:rsidRDefault="003E13DC" w:rsidP="003E13DC">
            <w:pPr>
              <w:pStyle w:val="Default"/>
              <w:ind w:firstLine="136"/>
              <w:rPr>
                <w:lang w:val="lv-LV"/>
              </w:rPr>
            </w:pPr>
            <w:proofErr w:type="spellStart"/>
            <w:r>
              <w:rPr>
                <w:lang w:val="lv-LV"/>
              </w:rPr>
              <w:t>Skat.sarunu</w:t>
            </w:r>
            <w:proofErr w:type="spellEnd"/>
            <w:r>
              <w:rPr>
                <w:lang w:val="lv-LV"/>
              </w:rPr>
              <w:t xml:space="preserve"> procedūras nolikuma Grozījumus Nr.1</w:t>
            </w:r>
            <w:r w:rsidR="00684F90">
              <w:rPr>
                <w:lang w:val="lv-LV"/>
              </w:rPr>
              <w:t>.</w:t>
            </w:r>
          </w:p>
          <w:p w14:paraId="40756B77" w14:textId="71160C02" w:rsidR="008C5F48" w:rsidRPr="003E13DC" w:rsidRDefault="003E13DC" w:rsidP="003E13DC">
            <w:pPr>
              <w:pStyle w:val="Default"/>
              <w:ind w:firstLine="136"/>
              <w:rPr>
                <w:lang w:val="lv-LV"/>
              </w:rPr>
            </w:pPr>
            <w:r w:rsidRPr="00E06BA4">
              <w:rPr>
                <w:bCs/>
                <w:lang w:val="lv-LV"/>
              </w:rPr>
              <w:t>Finanšu piedāvājum</w:t>
            </w:r>
            <w:r>
              <w:rPr>
                <w:bCs/>
                <w:lang w:val="lv-LV"/>
              </w:rPr>
              <w:t>ā</w:t>
            </w:r>
            <w:r>
              <w:rPr>
                <w:bCs/>
                <w:lang w:val="lv-LV"/>
              </w:rPr>
              <w:t xml:space="preserve"> – Darbu izmaksu tām</w:t>
            </w:r>
            <w:r>
              <w:rPr>
                <w:bCs/>
                <w:lang w:val="lv-LV"/>
              </w:rPr>
              <w:t xml:space="preserve">ē, norādot cenas, skaitļi </w:t>
            </w:r>
            <w:r w:rsidRPr="003E13DC">
              <w:rPr>
                <w:bCs/>
                <w:lang w:val="lv-LV"/>
              </w:rPr>
              <w:t xml:space="preserve">jānoapaļo līdz </w:t>
            </w:r>
            <w:r w:rsidRPr="003E13DC">
              <w:rPr>
                <w:lang w:val="lv-LV"/>
              </w:rPr>
              <w:t>divām zīmēm aiz komata.</w:t>
            </w:r>
            <w:bookmarkStart w:id="1" w:name="_GoBack"/>
            <w:bookmarkEnd w:id="1"/>
          </w:p>
        </w:tc>
      </w:tr>
      <w:tr w:rsidR="008C5F48" w:rsidRPr="00F26C44" w14:paraId="0C2E6F60" w14:textId="77777777" w:rsidTr="00B21220">
        <w:tc>
          <w:tcPr>
            <w:tcW w:w="4148" w:type="dxa"/>
          </w:tcPr>
          <w:p w14:paraId="235985FB" w14:textId="77777777" w:rsidR="008C5F48" w:rsidRPr="00F26C44" w:rsidRDefault="008C5F48" w:rsidP="00B21220">
            <w:pPr>
              <w:pStyle w:val="Default"/>
              <w:rPr>
                <w:rFonts w:ascii="Times New Roman Bold" w:hAnsi="Times New Roman Bold"/>
                <w:bCs/>
                <w:lang w:val="lv-LV"/>
              </w:rPr>
            </w:pPr>
            <w:r>
              <w:rPr>
                <w:rFonts w:ascii="Times New Roman Bold" w:hAnsi="Times New Roman Bold"/>
                <w:bCs/>
                <w:lang w:val="lv-LV"/>
              </w:rPr>
              <w:t>2.jautājums</w:t>
            </w:r>
          </w:p>
        </w:tc>
        <w:tc>
          <w:tcPr>
            <w:tcW w:w="4919" w:type="dxa"/>
          </w:tcPr>
          <w:p w14:paraId="3C75BF08" w14:textId="67ADFF4A" w:rsidR="008C5F48" w:rsidRPr="00F26C44" w:rsidRDefault="00420A6B" w:rsidP="00B21220">
            <w:pPr>
              <w:pStyle w:val="Default"/>
              <w:rPr>
                <w:rFonts w:ascii="Times New Roman Bold" w:hAnsi="Times New Roman Bold"/>
                <w:b/>
                <w:lang w:val="lv-LV"/>
              </w:rPr>
            </w:pPr>
            <w:r>
              <w:rPr>
                <w:rFonts w:ascii="Times New Roman Bold" w:hAnsi="Times New Roman Bold"/>
                <w:b/>
                <w:lang w:val="lv-LV"/>
              </w:rPr>
              <w:t>2.atbilde</w:t>
            </w:r>
          </w:p>
        </w:tc>
      </w:tr>
      <w:tr w:rsidR="008C5F48" w:rsidRPr="00A8063D" w14:paraId="5F6F2DC9" w14:textId="77777777" w:rsidTr="00B21220">
        <w:tc>
          <w:tcPr>
            <w:tcW w:w="4148" w:type="dxa"/>
          </w:tcPr>
          <w:p w14:paraId="6C7364B4" w14:textId="77777777" w:rsidR="008C5F48" w:rsidRPr="00A8063D" w:rsidRDefault="008C5F48" w:rsidP="00B21220">
            <w:pPr>
              <w:pStyle w:val="Default"/>
              <w:jc w:val="both"/>
              <w:rPr>
                <w:lang w:val="lv-LV"/>
              </w:rPr>
            </w:pPr>
            <w:r w:rsidRPr="00A8063D">
              <w:rPr>
                <w:bCs/>
                <w:lang w:val="lv-LV"/>
              </w:rPr>
              <w:t xml:space="preserve">Sarunu procedūras </w:t>
            </w:r>
            <w:r>
              <w:rPr>
                <w:bCs/>
                <w:lang w:val="lv-LV"/>
              </w:rPr>
              <w:t xml:space="preserve">ar publikāciju nolikuma 1.8.punktā minēts, ka piedāvājuma derīguma termiņš ir </w:t>
            </w:r>
            <w:r>
              <w:rPr>
                <w:bCs/>
                <w:u w:val="single"/>
                <w:lang w:val="lv-LV"/>
              </w:rPr>
              <w:t xml:space="preserve">120 (viens simts divdesmit) dienas </w:t>
            </w:r>
            <w:r w:rsidRPr="00A8063D">
              <w:rPr>
                <w:bCs/>
                <w:lang w:val="lv-LV"/>
              </w:rPr>
              <w:t>no piedāvājum</w:t>
            </w:r>
            <w:r>
              <w:rPr>
                <w:bCs/>
                <w:lang w:val="lv-LV"/>
              </w:rPr>
              <w:t>a</w:t>
            </w:r>
            <w:r w:rsidRPr="00A8063D">
              <w:rPr>
                <w:bCs/>
                <w:lang w:val="lv-LV"/>
              </w:rPr>
              <w:t xml:space="preserve"> atvēršanas dienas. Savukārt nolikuma 1.pielikuma </w:t>
            </w:r>
            <w:r w:rsidRPr="00A8063D">
              <w:rPr>
                <w:bCs/>
                <w:i/>
                <w:iCs/>
                <w:lang w:val="lv-LV"/>
              </w:rPr>
              <w:t xml:space="preserve">Pieteikums dalībai sarunu procedūrā ar publikāciju </w:t>
            </w:r>
            <w:r w:rsidRPr="00A8063D">
              <w:rPr>
                <w:bCs/>
                <w:lang w:val="lv-LV"/>
              </w:rPr>
              <w:t>8.punktā pretendentam ir jāapliecina, ka pretendents atzīst sava piedāvājumam derīguma termiņu ne mazāk kā</w:t>
            </w:r>
            <w:r>
              <w:rPr>
                <w:bCs/>
                <w:u w:val="single"/>
                <w:lang w:val="lv-LV"/>
              </w:rPr>
              <w:t xml:space="preserve"> </w:t>
            </w:r>
            <w:r w:rsidRPr="00A8063D">
              <w:rPr>
                <w:bCs/>
                <w:u w:val="single"/>
                <w:lang w:val="lv-LV"/>
              </w:rPr>
              <w:t>100 (viens simts dienas)</w:t>
            </w:r>
            <w:r w:rsidRPr="00A8063D">
              <w:rPr>
                <w:lang w:val="lv-LV"/>
              </w:rPr>
              <w:t xml:space="preserve"> </w:t>
            </w:r>
            <w:r>
              <w:rPr>
                <w:lang w:val="lv-LV"/>
              </w:rPr>
              <w:t>no piedāvājuma atvēršanas dienas. Lūdzam precizēt.</w:t>
            </w:r>
          </w:p>
        </w:tc>
        <w:tc>
          <w:tcPr>
            <w:tcW w:w="4919" w:type="dxa"/>
          </w:tcPr>
          <w:p w14:paraId="21EB3B63" w14:textId="77777777" w:rsidR="008C5F48" w:rsidRDefault="008C5F48" w:rsidP="00B21220">
            <w:pPr>
              <w:pStyle w:val="Default"/>
              <w:ind w:firstLine="136"/>
              <w:jc w:val="both"/>
              <w:rPr>
                <w:bCs/>
                <w:lang w:val="lv-LV"/>
              </w:rPr>
            </w:pPr>
            <w:r w:rsidRPr="00A8063D">
              <w:rPr>
                <w:bCs/>
                <w:lang w:val="lv-LV"/>
              </w:rPr>
              <w:t>Pasūtītājs skaidro, ka</w:t>
            </w:r>
            <w:r>
              <w:rPr>
                <w:bCs/>
                <w:lang w:val="lv-LV"/>
              </w:rPr>
              <w:t xml:space="preserve"> sarunu procedūras nolikuma pamatdokumentā noteiktā prasība ir</w:t>
            </w:r>
            <w:r w:rsidRPr="00A8063D">
              <w:rPr>
                <w:bCs/>
                <w:lang w:val="lv-LV"/>
              </w:rPr>
              <w:t xml:space="preserve"> noteicoš</w:t>
            </w:r>
            <w:r>
              <w:rPr>
                <w:bCs/>
                <w:lang w:val="lv-LV"/>
              </w:rPr>
              <w:t>ā, un</w:t>
            </w:r>
            <w:r w:rsidRPr="00A8063D">
              <w:rPr>
                <w:bCs/>
                <w:lang w:val="lv-LV"/>
              </w:rPr>
              <w:t xml:space="preserve"> sarunu procedūras nolikuma 1.pielikums </w:t>
            </w:r>
            <w:r>
              <w:rPr>
                <w:bCs/>
                <w:lang w:val="lv-LV"/>
              </w:rPr>
              <w:t>ir kā forma. Pretendents aizpilda formu, ņemot vērā sarunu procedūras nolikumā noteikto.</w:t>
            </w:r>
          </w:p>
          <w:p w14:paraId="58521151" w14:textId="77777777" w:rsidR="008C5F48" w:rsidRPr="00A8063D" w:rsidRDefault="008C5F48" w:rsidP="00B21220">
            <w:pPr>
              <w:pStyle w:val="Default"/>
              <w:ind w:firstLine="136"/>
              <w:jc w:val="both"/>
              <w:rPr>
                <w:bCs/>
                <w:lang w:val="lv-LV"/>
              </w:rPr>
            </w:pPr>
            <w:r>
              <w:rPr>
                <w:bCs/>
                <w:lang w:val="lv-LV"/>
              </w:rPr>
              <w:t xml:space="preserve">Šajā gadījumā sarunu procedūras nolikuma 1.pielikumā ir ieviesusies drukas kļūda, kas uzskatāmībai tiek precizēta (sīkāk </w:t>
            </w:r>
            <w:proofErr w:type="spellStart"/>
            <w:r>
              <w:rPr>
                <w:bCs/>
                <w:lang w:val="lv-LV"/>
              </w:rPr>
              <w:t>skat.sarunu</w:t>
            </w:r>
            <w:proofErr w:type="spellEnd"/>
            <w:r>
              <w:rPr>
                <w:bCs/>
                <w:lang w:val="lv-LV"/>
              </w:rPr>
              <w:t xml:space="preserve"> procedūras nolikuma Grozījumi Nr.1).</w:t>
            </w:r>
          </w:p>
        </w:tc>
      </w:tr>
    </w:tbl>
    <w:p w14:paraId="473C5E4C" w14:textId="77777777" w:rsidR="008C5F48" w:rsidRPr="00C20434" w:rsidRDefault="008C5F48" w:rsidP="008C5F48">
      <w:pPr>
        <w:rPr>
          <w:rFonts w:ascii="Arial" w:hAnsi="Arial" w:cs="Arial"/>
        </w:rPr>
      </w:pPr>
    </w:p>
    <w:p w14:paraId="71FA611F" w14:textId="77777777" w:rsidR="008C5F48" w:rsidRDefault="008C5F48" w:rsidP="008C5F48">
      <w:pPr>
        <w:spacing w:after="160" w:line="259" w:lineRule="auto"/>
        <w:jc w:val="left"/>
        <w:rPr>
          <w:color w:val="000000"/>
          <w:szCs w:val="24"/>
        </w:rPr>
      </w:pPr>
    </w:p>
    <w:sectPr w:rsidR="008C5F48" w:rsidSect="002847E0">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FA"/>
    <w:rsid w:val="00306310"/>
    <w:rsid w:val="003204EA"/>
    <w:rsid w:val="003E13DC"/>
    <w:rsid w:val="00420A6B"/>
    <w:rsid w:val="0049613E"/>
    <w:rsid w:val="00574D97"/>
    <w:rsid w:val="00684F90"/>
    <w:rsid w:val="008C5F48"/>
    <w:rsid w:val="0098236C"/>
    <w:rsid w:val="00C20434"/>
    <w:rsid w:val="00C91883"/>
    <w:rsid w:val="00DE67FA"/>
    <w:rsid w:val="00E639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ECDC"/>
  <w15:chartTrackingRefBased/>
  <w15:docId w15:val="{29421B17-23B0-4C49-B281-8A09E92F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310"/>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310"/>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30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9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91E"/>
    <w:rPr>
      <w:rFonts w:ascii="Segoe UI" w:hAnsi="Segoe UI" w:cs="Segoe UI"/>
      <w:sz w:val="18"/>
      <w:szCs w:val="18"/>
    </w:rPr>
  </w:style>
  <w:style w:type="character" w:styleId="CommentReference">
    <w:name w:val="annotation reference"/>
    <w:basedOn w:val="DefaultParagraphFont"/>
    <w:uiPriority w:val="99"/>
    <w:semiHidden/>
    <w:unhideWhenUsed/>
    <w:rsid w:val="00E6391E"/>
    <w:rPr>
      <w:sz w:val="16"/>
      <w:szCs w:val="16"/>
    </w:rPr>
  </w:style>
  <w:style w:type="paragraph" w:styleId="CommentText">
    <w:name w:val="annotation text"/>
    <w:basedOn w:val="Normal"/>
    <w:link w:val="CommentTextChar"/>
    <w:uiPriority w:val="99"/>
    <w:semiHidden/>
    <w:unhideWhenUsed/>
    <w:rsid w:val="00E6391E"/>
    <w:rPr>
      <w:sz w:val="20"/>
      <w:szCs w:val="20"/>
    </w:rPr>
  </w:style>
  <w:style w:type="character" w:customStyle="1" w:styleId="CommentTextChar">
    <w:name w:val="Comment Text Char"/>
    <w:basedOn w:val="DefaultParagraphFont"/>
    <w:link w:val="CommentText"/>
    <w:uiPriority w:val="99"/>
    <w:semiHidden/>
    <w:rsid w:val="00E6391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1254</Words>
  <Characters>716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8</cp:revision>
  <dcterms:created xsi:type="dcterms:W3CDTF">2020-10-30T07:25:00Z</dcterms:created>
  <dcterms:modified xsi:type="dcterms:W3CDTF">2020-10-30T12:46:00Z</dcterms:modified>
</cp:coreProperties>
</file>