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939C" w14:textId="77777777" w:rsidR="00331418" w:rsidRPr="00121899" w:rsidRDefault="00331418" w:rsidP="00331418">
      <w:pPr>
        <w:tabs>
          <w:tab w:val="left" w:pos="3760"/>
        </w:tabs>
        <w:ind w:left="-284" w:right="-58" w:firstLine="3970"/>
        <w:jc w:val="right"/>
        <w:rPr>
          <w:rFonts w:ascii="Arial" w:eastAsia="Calibri" w:hAnsi="Arial" w:cs="Arial"/>
          <w:i/>
        </w:rPr>
      </w:pPr>
      <w:r w:rsidRPr="00121899">
        <w:rPr>
          <w:rFonts w:ascii="Arial" w:eastAsia="Calibri" w:hAnsi="Arial" w:cs="Arial"/>
          <w:i/>
        </w:rPr>
        <w:t>APSTIPRINĀTS:</w:t>
      </w:r>
    </w:p>
    <w:p w14:paraId="054A8FD5" w14:textId="77777777" w:rsidR="00331418" w:rsidRPr="00121899" w:rsidRDefault="00331418" w:rsidP="00542C95">
      <w:pPr>
        <w:ind w:left="-284" w:right="-58" w:firstLine="3828"/>
        <w:jc w:val="right"/>
        <w:rPr>
          <w:rFonts w:ascii="Arial" w:eastAsia="Arial Unicode MS" w:hAnsi="Arial" w:cs="Arial"/>
          <w:i/>
        </w:rPr>
      </w:pPr>
      <w:proofErr w:type="spellStart"/>
      <w:r w:rsidRPr="00121899">
        <w:rPr>
          <w:rFonts w:ascii="Arial" w:eastAsia="Calibri" w:hAnsi="Arial" w:cs="Arial"/>
          <w:i/>
        </w:rPr>
        <w:t>ar</w:t>
      </w:r>
      <w:proofErr w:type="spellEnd"/>
      <w:r w:rsidRPr="00121899">
        <w:rPr>
          <w:rFonts w:ascii="Arial" w:eastAsia="Calibri" w:hAnsi="Arial" w:cs="Arial"/>
          <w:i/>
        </w:rPr>
        <w:t xml:space="preserve"> </w:t>
      </w:r>
      <w:proofErr w:type="spellStart"/>
      <w:r w:rsidRPr="00121899">
        <w:rPr>
          <w:rFonts w:ascii="Arial" w:eastAsia="Calibri" w:hAnsi="Arial" w:cs="Arial"/>
          <w:i/>
        </w:rPr>
        <w:t>iepirkuma</w:t>
      </w:r>
      <w:proofErr w:type="spellEnd"/>
      <w:r w:rsidRPr="00121899">
        <w:rPr>
          <w:rFonts w:ascii="Arial" w:eastAsia="Calibri" w:hAnsi="Arial" w:cs="Arial"/>
          <w:i/>
        </w:rPr>
        <w:t xml:space="preserve"> </w:t>
      </w:r>
      <w:proofErr w:type="spellStart"/>
      <w:r w:rsidRPr="00121899">
        <w:rPr>
          <w:rFonts w:ascii="Arial" w:eastAsia="Calibri" w:hAnsi="Arial" w:cs="Arial"/>
          <w:i/>
        </w:rPr>
        <w:t>komisijas</w:t>
      </w:r>
      <w:proofErr w:type="spellEnd"/>
      <w:r w:rsidRPr="00121899">
        <w:rPr>
          <w:rFonts w:ascii="Arial" w:eastAsia="Calibri" w:hAnsi="Arial" w:cs="Arial"/>
          <w:i/>
        </w:rPr>
        <w:t xml:space="preserve"> </w:t>
      </w:r>
      <w:r w:rsidRPr="00121899">
        <w:rPr>
          <w:rFonts w:ascii="Arial" w:eastAsia="Arial Unicode MS" w:hAnsi="Arial" w:cs="Arial"/>
          <w:i/>
        </w:rPr>
        <w:t xml:space="preserve">2022. </w:t>
      </w:r>
      <w:proofErr w:type="spellStart"/>
      <w:r w:rsidRPr="00121899">
        <w:rPr>
          <w:rFonts w:ascii="Arial" w:eastAsia="Arial Unicode MS" w:hAnsi="Arial" w:cs="Arial"/>
          <w:i/>
        </w:rPr>
        <w:t>gada</w:t>
      </w:r>
      <w:proofErr w:type="spellEnd"/>
      <w:r w:rsidRPr="00121899">
        <w:rPr>
          <w:rFonts w:ascii="Arial" w:eastAsia="Arial Unicode MS" w:hAnsi="Arial" w:cs="Arial"/>
          <w:i/>
        </w:rPr>
        <w:t xml:space="preserve"> </w:t>
      </w:r>
      <w:proofErr w:type="gramStart"/>
      <w:r w:rsidRPr="00121899">
        <w:rPr>
          <w:rFonts w:ascii="Arial" w:eastAsia="Arial Unicode MS" w:hAnsi="Arial" w:cs="Arial"/>
          <w:i/>
        </w:rPr>
        <w:t>23.septembra</w:t>
      </w:r>
      <w:proofErr w:type="gramEnd"/>
      <w:r w:rsidRPr="00121899">
        <w:rPr>
          <w:rFonts w:ascii="Arial" w:eastAsia="Arial Unicode MS" w:hAnsi="Arial" w:cs="Arial"/>
          <w:i/>
        </w:rPr>
        <w:t xml:space="preserve"> 13.sēdes </w:t>
      </w:r>
      <w:proofErr w:type="spellStart"/>
      <w:r w:rsidRPr="00121899">
        <w:rPr>
          <w:rFonts w:ascii="Arial" w:eastAsia="Arial Unicode MS" w:hAnsi="Arial" w:cs="Arial"/>
          <w:i/>
        </w:rPr>
        <w:t>protokolu</w:t>
      </w:r>
      <w:proofErr w:type="spellEnd"/>
    </w:p>
    <w:p w14:paraId="187C8EC9" w14:textId="77777777" w:rsidR="00331418" w:rsidRPr="00121899" w:rsidRDefault="00331418" w:rsidP="00331418">
      <w:pPr>
        <w:ind w:left="-284" w:right="-58" w:firstLine="2694"/>
        <w:jc w:val="right"/>
        <w:rPr>
          <w:rFonts w:ascii="Arial" w:hAnsi="Arial" w:cs="Arial"/>
          <w:sz w:val="24"/>
        </w:rPr>
      </w:pPr>
    </w:p>
    <w:p w14:paraId="7D7E7588" w14:textId="77777777" w:rsidR="00331418" w:rsidRPr="00217C6D" w:rsidRDefault="00331418" w:rsidP="00331418">
      <w:pPr>
        <w:pStyle w:val="Title"/>
        <w:rPr>
          <w:rFonts w:ascii="Arial" w:hAnsi="Arial" w:cs="Arial"/>
          <w:b/>
          <w:bCs/>
          <w:sz w:val="22"/>
          <w:szCs w:val="22"/>
          <w:lang w:val="en-US"/>
        </w:rPr>
      </w:pPr>
    </w:p>
    <w:p w14:paraId="776FCB4E" w14:textId="7CEFBCE7" w:rsidR="00331418" w:rsidRPr="007211D8" w:rsidRDefault="00B93E99" w:rsidP="00331418">
      <w:pPr>
        <w:pStyle w:val="Title"/>
        <w:rPr>
          <w:rFonts w:ascii="Arial" w:hAnsi="Arial" w:cs="Arial"/>
          <w:b/>
          <w:sz w:val="22"/>
          <w:szCs w:val="22"/>
        </w:rPr>
      </w:pPr>
      <w:r>
        <w:rPr>
          <w:rFonts w:ascii="Arial" w:hAnsi="Arial" w:cs="Arial"/>
          <w:b/>
          <w:sz w:val="22"/>
          <w:szCs w:val="22"/>
        </w:rPr>
        <w:t xml:space="preserve">Sarunu procedūrā </w:t>
      </w:r>
      <w:r w:rsidR="00331418" w:rsidRPr="007211D8">
        <w:rPr>
          <w:rFonts w:ascii="Arial" w:hAnsi="Arial" w:cs="Arial"/>
          <w:b/>
          <w:sz w:val="22"/>
          <w:szCs w:val="22"/>
        </w:rPr>
        <w:t>ar publikāciju</w:t>
      </w:r>
    </w:p>
    <w:p w14:paraId="16D75491" w14:textId="46FFC938" w:rsidR="00331418" w:rsidRDefault="00331418" w:rsidP="00331418">
      <w:pPr>
        <w:jc w:val="center"/>
        <w:rPr>
          <w:rFonts w:ascii="Arial" w:hAnsi="Arial" w:cs="Arial"/>
          <w:b/>
          <w:sz w:val="22"/>
          <w:szCs w:val="22"/>
          <w:lang w:val="lv-LV"/>
        </w:rPr>
      </w:pPr>
      <w:r w:rsidRPr="007211D8">
        <w:rPr>
          <w:rFonts w:ascii="Arial" w:hAnsi="Arial" w:cs="Arial"/>
          <w:b/>
          <w:sz w:val="22"/>
          <w:szCs w:val="22"/>
          <w:lang w:val="lv-LV"/>
        </w:rPr>
        <w:t>„</w:t>
      </w:r>
      <w:r w:rsidRPr="007211D8">
        <w:rPr>
          <w:rFonts w:ascii="Arial" w:hAnsi="Arial" w:cs="Arial"/>
          <w:b/>
          <w:bCs/>
          <w:sz w:val="22"/>
          <w:szCs w:val="22"/>
          <w:lang w:val="lv-LV"/>
        </w:rPr>
        <w:t>Dobeles stacijas centralizācijas sistēmas modernizācija</w:t>
      </w:r>
      <w:r w:rsidRPr="007211D8">
        <w:rPr>
          <w:rFonts w:ascii="Arial" w:hAnsi="Arial" w:cs="Arial"/>
          <w:b/>
          <w:sz w:val="22"/>
          <w:szCs w:val="22"/>
          <w:lang w:val="lv-LV"/>
        </w:rPr>
        <w:t xml:space="preserve">” (iepirkuma </w:t>
      </w:r>
      <w:proofErr w:type="spellStart"/>
      <w:r w:rsidRPr="007211D8">
        <w:rPr>
          <w:rFonts w:ascii="Arial" w:hAnsi="Arial" w:cs="Arial"/>
          <w:b/>
          <w:sz w:val="22"/>
          <w:szCs w:val="22"/>
          <w:lang w:val="lv-LV"/>
        </w:rPr>
        <w:t>Id.Nr</w:t>
      </w:r>
      <w:proofErr w:type="spellEnd"/>
      <w:r w:rsidRPr="007211D8">
        <w:rPr>
          <w:rFonts w:ascii="Arial" w:hAnsi="Arial" w:cs="Arial"/>
          <w:b/>
          <w:sz w:val="22"/>
          <w:szCs w:val="22"/>
          <w:lang w:val="lv-LV"/>
        </w:rPr>
        <w:t>. LDZ 2022/33-SPAV)</w:t>
      </w:r>
    </w:p>
    <w:p w14:paraId="5DD74342" w14:textId="55E57BE2" w:rsidR="00B93E99" w:rsidRDefault="00E6451A" w:rsidP="00331418">
      <w:pPr>
        <w:jc w:val="center"/>
        <w:rPr>
          <w:rFonts w:ascii="Arial" w:hAnsi="Arial" w:cs="Arial"/>
          <w:bCs/>
          <w:sz w:val="22"/>
          <w:szCs w:val="22"/>
          <w:lang w:val="lv-LV"/>
        </w:rPr>
      </w:pPr>
      <w:r>
        <w:rPr>
          <w:rFonts w:ascii="Arial" w:hAnsi="Arial" w:cs="Arial"/>
          <w:bCs/>
          <w:sz w:val="22"/>
          <w:szCs w:val="22"/>
          <w:lang w:val="lv-LV"/>
        </w:rPr>
        <w:t>(turpmāk – iepirkums)</w:t>
      </w:r>
    </w:p>
    <w:p w14:paraId="5FCE64B1" w14:textId="77777777" w:rsidR="00E6451A" w:rsidRPr="00E6451A" w:rsidRDefault="00E6451A" w:rsidP="00331418">
      <w:pPr>
        <w:jc w:val="center"/>
        <w:rPr>
          <w:rFonts w:ascii="Arial" w:eastAsiaTheme="minorHAnsi" w:hAnsi="Arial" w:cs="Arial"/>
          <w:bCs/>
          <w:sz w:val="22"/>
          <w:szCs w:val="22"/>
          <w:lang w:val="lv-LV"/>
        </w:rPr>
      </w:pPr>
    </w:p>
    <w:p w14:paraId="5DD4016F" w14:textId="77777777" w:rsidR="00331418" w:rsidRPr="007211D8" w:rsidRDefault="00331418" w:rsidP="00331418">
      <w:pPr>
        <w:tabs>
          <w:tab w:val="center" w:pos="6979"/>
          <w:tab w:val="left" w:pos="9564"/>
        </w:tabs>
        <w:jc w:val="center"/>
        <w:rPr>
          <w:rFonts w:ascii="Arial" w:hAnsi="Arial" w:cs="Arial"/>
          <w:b/>
          <w:color w:val="000000"/>
          <w:sz w:val="22"/>
          <w:szCs w:val="22"/>
          <w:lang w:val="lv-LV"/>
        </w:rPr>
      </w:pPr>
      <w:r w:rsidRPr="007211D8">
        <w:rPr>
          <w:rFonts w:ascii="Arial" w:hAnsi="Arial" w:cs="Arial"/>
          <w:b/>
          <w:color w:val="000000"/>
          <w:sz w:val="22"/>
          <w:szCs w:val="22"/>
          <w:lang w:val="lv-LV"/>
        </w:rPr>
        <w:t>Skaidrojums Nr.12</w:t>
      </w:r>
    </w:p>
    <w:p w14:paraId="2947F976" w14:textId="77777777" w:rsidR="00331418" w:rsidRPr="007211D8" w:rsidRDefault="00331418" w:rsidP="00331418">
      <w:pPr>
        <w:tabs>
          <w:tab w:val="center" w:pos="6979"/>
          <w:tab w:val="left" w:pos="9564"/>
        </w:tabs>
        <w:jc w:val="center"/>
        <w:rPr>
          <w:rFonts w:ascii="Arial" w:hAnsi="Arial" w:cs="Arial"/>
          <w:b/>
          <w:color w:val="000000"/>
          <w:sz w:val="22"/>
          <w:szCs w:val="22"/>
          <w:lang w:val="lv-LV"/>
        </w:rPr>
      </w:pPr>
    </w:p>
    <w:tbl>
      <w:tblPr>
        <w:tblStyle w:val="TableGrid"/>
        <w:tblW w:w="9086" w:type="dxa"/>
        <w:tblLook w:val="04A0" w:firstRow="1" w:lastRow="0" w:firstColumn="1" w:lastColumn="0" w:noHBand="0" w:noVBand="1"/>
      </w:tblPr>
      <w:tblGrid>
        <w:gridCol w:w="4761"/>
        <w:gridCol w:w="4325"/>
      </w:tblGrid>
      <w:tr w:rsidR="00331418" w:rsidRPr="007211D8" w14:paraId="495650D0" w14:textId="77777777" w:rsidTr="00EA23FF">
        <w:trPr>
          <w:trHeight w:val="543"/>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4939DA31" w14:textId="77777777" w:rsidR="00331418" w:rsidRPr="007211D8" w:rsidRDefault="00331418" w:rsidP="00EA23FF">
            <w:pPr>
              <w:spacing w:before="120"/>
              <w:ind w:left="880" w:hanging="880"/>
              <w:jc w:val="center"/>
              <w:rPr>
                <w:rFonts w:ascii="Arial" w:eastAsia="Calibri" w:hAnsi="Arial" w:cs="Arial"/>
                <w:b/>
                <w:i/>
                <w:sz w:val="22"/>
                <w:szCs w:val="22"/>
              </w:rPr>
            </w:pPr>
            <w:bookmarkStart w:id="0" w:name="_Hlk110329419"/>
            <w:bookmarkStart w:id="1" w:name="_Hlk114233671"/>
            <w:proofErr w:type="spellStart"/>
            <w:r w:rsidRPr="007211D8">
              <w:rPr>
                <w:rFonts w:ascii="Arial" w:eastAsia="Calibri" w:hAnsi="Arial" w:cs="Arial"/>
                <w:b/>
                <w:i/>
                <w:sz w:val="22"/>
                <w:szCs w:val="22"/>
              </w:rPr>
              <w:t>Jautājums</w:t>
            </w:r>
            <w:proofErr w:type="spellEnd"/>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B7457BA" w14:textId="77777777" w:rsidR="00331418" w:rsidRPr="007211D8" w:rsidRDefault="00331418" w:rsidP="00EA23FF">
            <w:pPr>
              <w:spacing w:before="120"/>
              <w:jc w:val="center"/>
              <w:rPr>
                <w:rFonts w:ascii="Arial" w:eastAsia="Calibri" w:hAnsi="Arial" w:cs="Arial"/>
                <w:b/>
                <w:i/>
                <w:sz w:val="22"/>
                <w:szCs w:val="22"/>
              </w:rPr>
            </w:pPr>
            <w:proofErr w:type="spellStart"/>
            <w:r w:rsidRPr="007211D8">
              <w:rPr>
                <w:rFonts w:ascii="Arial" w:eastAsia="Calibri" w:hAnsi="Arial" w:cs="Arial"/>
                <w:b/>
                <w:i/>
                <w:sz w:val="22"/>
                <w:szCs w:val="22"/>
              </w:rPr>
              <w:t>Atbilde</w:t>
            </w:r>
            <w:proofErr w:type="spellEnd"/>
          </w:p>
        </w:tc>
      </w:tr>
      <w:tr w:rsidR="00331418" w:rsidRPr="00B93E99" w14:paraId="170ADFEC" w14:textId="77777777" w:rsidTr="00EA23FF">
        <w:trPr>
          <w:trHeight w:val="1022"/>
        </w:trPr>
        <w:tc>
          <w:tcPr>
            <w:tcW w:w="4761" w:type="dxa"/>
            <w:tcBorders>
              <w:top w:val="single" w:sz="4" w:space="0" w:color="auto"/>
              <w:left w:val="single" w:sz="4" w:space="0" w:color="auto"/>
              <w:bottom w:val="single" w:sz="4" w:space="0" w:color="auto"/>
              <w:right w:val="single" w:sz="4" w:space="0" w:color="auto"/>
            </w:tcBorders>
          </w:tcPr>
          <w:p w14:paraId="0F671807" w14:textId="77777777" w:rsidR="00331418" w:rsidRPr="007211D8" w:rsidRDefault="00331418" w:rsidP="00EA23FF">
            <w:pPr>
              <w:pStyle w:val="Text"/>
              <w:rPr>
                <w:rFonts w:ascii="Arial" w:hAnsi="Arial" w:cs="Arial"/>
              </w:rPr>
            </w:pPr>
            <w:r w:rsidRPr="007211D8">
              <w:rPr>
                <w:rFonts w:ascii="Arial" w:eastAsia="Times New Roman" w:hAnsi="Arial" w:cs="Arial"/>
              </w:rPr>
              <w:t>Sakarā ar to, ka grozījumu implementācija piedāvājumā aizņem vairāk laika, nekā gaidīts</w:t>
            </w:r>
            <w:r w:rsidRPr="007211D8">
              <w:rPr>
                <w:rFonts w:ascii="Arial" w:hAnsi="Arial" w:cs="Arial"/>
              </w:rPr>
              <w:t xml:space="preserve">, </w:t>
            </w:r>
            <w:r w:rsidRPr="007211D8">
              <w:rPr>
                <w:rFonts w:ascii="Arial" w:eastAsia="Times New Roman" w:hAnsi="Arial" w:cs="Arial"/>
              </w:rPr>
              <w:t xml:space="preserve">pretendents </w:t>
            </w:r>
            <w:r w:rsidRPr="007211D8">
              <w:rPr>
                <w:rFonts w:ascii="Arial" w:hAnsi="Arial" w:cs="Arial"/>
              </w:rPr>
              <w:t xml:space="preserve">lūdz </w:t>
            </w:r>
            <w:r w:rsidRPr="007211D8">
              <w:rPr>
                <w:rFonts w:ascii="Arial" w:eastAsia="Times New Roman" w:hAnsi="Arial" w:cs="Arial"/>
              </w:rPr>
              <w:t xml:space="preserve">pagarināt piedāvājuma iesniegšanas datumu </w:t>
            </w:r>
            <w:r w:rsidRPr="007211D8">
              <w:rPr>
                <w:rFonts w:ascii="Arial" w:hAnsi="Arial" w:cs="Arial"/>
              </w:rPr>
              <w:t>līdz 2022. gada 17.oktobrim.</w:t>
            </w:r>
          </w:p>
        </w:tc>
        <w:tc>
          <w:tcPr>
            <w:tcW w:w="4325" w:type="dxa"/>
            <w:tcBorders>
              <w:top w:val="single" w:sz="4" w:space="0" w:color="auto"/>
              <w:left w:val="single" w:sz="4" w:space="0" w:color="auto"/>
              <w:bottom w:val="single" w:sz="4" w:space="0" w:color="auto"/>
              <w:right w:val="single" w:sz="4" w:space="0" w:color="auto"/>
            </w:tcBorders>
          </w:tcPr>
          <w:p w14:paraId="01117D91" w14:textId="77777777" w:rsidR="00331418" w:rsidRPr="00121899" w:rsidRDefault="00331418" w:rsidP="00EA23FF">
            <w:pPr>
              <w:ind w:left="-6"/>
              <w:rPr>
                <w:rFonts w:ascii="Arial" w:hAnsi="Arial" w:cs="Arial"/>
                <w:sz w:val="22"/>
                <w:szCs w:val="22"/>
                <w:highlight w:val="yellow"/>
                <w:lang w:val="lv-LV"/>
              </w:rPr>
            </w:pPr>
            <w:r w:rsidRPr="00121899">
              <w:rPr>
                <w:rFonts w:ascii="Arial" w:eastAsia="Calibri" w:hAnsi="Arial" w:cs="Arial"/>
                <w:bCs/>
                <w:sz w:val="22"/>
                <w:szCs w:val="22"/>
                <w:lang w:val="lv-LV"/>
              </w:rPr>
              <w:t xml:space="preserve">Iepirkuma komisija </w:t>
            </w:r>
            <w:r w:rsidRPr="00121899">
              <w:rPr>
                <w:rFonts w:ascii="Arial" w:eastAsia="Calibri" w:hAnsi="Arial" w:cs="Arial"/>
                <w:sz w:val="22"/>
                <w:szCs w:val="22"/>
                <w:lang w:val="lv-LV"/>
              </w:rPr>
              <w:t>informē, ka iepirkuma nolikumā tiks veikti grozījumi un piedāvājuma iesniegšanas termiņš tiks pagarināts.</w:t>
            </w:r>
          </w:p>
        </w:tc>
      </w:tr>
      <w:tr w:rsidR="00331418" w:rsidRPr="007211D8" w14:paraId="13D992EE" w14:textId="77777777" w:rsidTr="00EA23FF">
        <w:trPr>
          <w:trHeight w:val="261"/>
        </w:trPr>
        <w:tc>
          <w:tcPr>
            <w:tcW w:w="476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3D15B6" w14:textId="77777777" w:rsidR="00331418" w:rsidRPr="007211D8" w:rsidRDefault="00331418" w:rsidP="00EA23FF">
            <w:pPr>
              <w:pStyle w:val="Text"/>
              <w:jc w:val="center"/>
              <w:rPr>
                <w:rFonts w:ascii="Arial" w:eastAsia="Calibri" w:hAnsi="Arial" w:cs="Arial"/>
                <w:b/>
                <w:i/>
              </w:rPr>
            </w:pPr>
            <w:r w:rsidRPr="007211D8">
              <w:rPr>
                <w:rFonts w:ascii="Arial" w:eastAsia="Calibri" w:hAnsi="Arial" w:cs="Arial"/>
                <w:b/>
                <w:i/>
              </w:rPr>
              <w:t>Jautājums</w:t>
            </w:r>
          </w:p>
          <w:p w14:paraId="1D76B635" w14:textId="77777777" w:rsidR="00331418" w:rsidRPr="007211D8" w:rsidRDefault="00331418" w:rsidP="00EA23FF">
            <w:pPr>
              <w:pStyle w:val="Text"/>
              <w:jc w:val="center"/>
              <w:rPr>
                <w:rFonts w:ascii="Arial" w:eastAsia="Times New Roman" w:hAnsi="Arial" w:cs="Arial"/>
              </w:rPr>
            </w:pP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E38CB3B" w14:textId="77777777" w:rsidR="00331418" w:rsidRPr="007211D8" w:rsidRDefault="00331418" w:rsidP="00EA23FF">
            <w:pPr>
              <w:ind w:left="-6"/>
              <w:jc w:val="center"/>
              <w:rPr>
                <w:rFonts w:ascii="Arial" w:hAnsi="Arial" w:cs="Arial"/>
                <w:sz w:val="22"/>
                <w:szCs w:val="22"/>
                <w:lang w:val="lv-LV"/>
              </w:rPr>
            </w:pPr>
            <w:proofErr w:type="spellStart"/>
            <w:r w:rsidRPr="007211D8">
              <w:rPr>
                <w:rFonts w:ascii="Arial" w:eastAsia="Calibri" w:hAnsi="Arial" w:cs="Arial"/>
                <w:b/>
                <w:i/>
                <w:sz w:val="22"/>
                <w:szCs w:val="22"/>
              </w:rPr>
              <w:t>Atbilde</w:t>
            </w:r>
            <w:proofErr w:type="spellEnd"/>
          </w:p>
        </w:tc>
      </w:tr>
      <w:tr w:rsidR="00331418" w:rsidRPr="007211D8" w14:paraId="5C1F360F" w14:textId="77777777" w:rsidTr="00EA23FF">
        <w:trPr>
          <w:trHeight w:val="173"/>
        </w:trPr>
        <w:tc>
          <w:tcPr>
            <w:tcW w:w="4761" w:type="dxa"/>
            <w:tcBorders>
              <w:top w:val="single" w:sz="4" w:space="0" w:color="auto"/>
              <w:left w:val="single" w:sz="4" w:space="0" w:color="auto"/>
              <w:bottom w:val="single" w:sz="4" w:space="0" w:color="auto"/>
              <w:right w:val="single" w:sz="4" w:space="0" w:color="auto"/>
            </w:tcBorders>
          </w:tcPr>
          <w:p w14:paraId="1CE67354" w14:textId="77777777" w:rsidR="00331418" w:rsidRPr="007211D8" w:rsidRDefault="00331418" w:rsidP="00EA23FF">
            <w:pPr>
              <w:shd w:val="clear" w:color="auto" w:fill="FFFFFF"/>
              <w:rPr>
                <w:rFonts w:ascii="Arial" w:hAnsi="Arial" w:cs="Arial"/>
                <w:color w:val="242424"/>
                <w:sz w:val="22"/>
                <w:szCs w:val="22"/>
                <w:lang w:val="lv-LV"/>
              </w:rPr>
            </w:pPr>
            <w:r w:rsidRPr="007211D8">
              <w:rPr>
                <w:rFonts w:ascii="Arial" w:hAnsi="Arial" w:cs="Arial"/>
                <w:color w:val="242424"/>
                <w:sz w:val="22"/>
                <w:szCs w:val="22"/>
                <w:lang w:val="lv-LV"/>
              </w:rPr>
              <w:t xml:space="preserve">Tehnisko prasību punktā 2.3.5.2. Drošības sasniegšana ir uzskaitītas 2 </w:t>
            </w:r>
            <w:proofErr w:type="spellStart"/>
            <w:r w:rsidRPr="007211D8">
              <w:rPr>
                <w:rFonts w:ascii="Arial" w:hAnsi="Arial" w:cs="Arial"/>
                <w:color w:val="242424"/>
                <w:sz w:val="22"/>
                <w:szCs w:val="22"/>
                <w:lang w:val="lv-LV"/>
              </w:rPr>
              <w:t>apakšprasības</w:t>
            </w:r>
            <w:proofErr w:type="spellEnd"/>
            <w:r w:rsidRPr="007211D8">
              <w:rPr>
                <w:rFonts w:ascii="Arial" w:hAnsi="Arial" w:cs="Arial"/>
                <w:color w:val="242424"/>
                <w:sz w:val="22"/>
                <w:szCs w:val="22"/>
                <w:lang w:val="lv-LV"/>
              </w:rPr>
              <w:t xml:space="preserve"> programmatūrai, kas tiks izmantota SCB sistēmās:</w:t>
            </w:r>
          </w:p>
          <w:p w14:paraId="4FE32033" w14:textId="77777777" w:rsidR="00331418" w:rsidRPr="007211D8" w:rsidRDefault="00331418" w:rsidP="00EA23FF">
            <w:pPr>
              <w:shd w:val="clear" w:color="auto" w:fill="FFFFFF"/>
              <w:rPr>
                <w:rFonts w:ascii="Arial" w:hAnsi="Arial" w:cs="Arial"/>
                <w:color w:val="242424"/>
                <w:sz w:val="22"/>
                <w:szCs w:val="22"/>
                <w:lang w:val="lv-LV"/>
              </w:rPr>
            </w:pPr>
            <w:r w:rsidRPr="007211D8">
              <w:rPr>
                <w:rFonts w:ascii="Arial" w:hAnsi="Arial" w:cs="Arial"/>
                <w:color w:val="242424"/>
                <w:sz w:val="22"/>
                <w:szCs w:val="22"/>
                <w:lang w:val="lv-LV"/>
              </w:rPr>
              <w:t>“</w:t>
            </w:r>
          </w:p>
          <w:p w14:paraId="575737B1" w14:textId="77777777" w:rsidR="00331418" w:rsidRPr="007211D8" w:rsidRDefault="00331418" w:rsidP="00EA23FF">
            <w:pPr>
              <w:numPr>
                <w:ilvl w:val="0"/>
                <w:numId w:val="1"/>
              </w:numPr>
              <w:shd w:val="clear" w:color="auto" w:fill="FFFFFF"/>
              <w:ind w:left="174" w:firstLine="0"/>
              <w:rPr>
                <w:rFonts w:ascii="Arial" w:hAnsi="Arial" w:cs="Arial"/>
                <w:color w:val="242424"/>
                <w:sz w:val="22"/>
                <w:szCs w:val="22"/>
                <w:lang w:val="lv-LV"/>
              </w:rPr>
            </w:pPr>
            <w:r w:rsidRPr="007211D8">
              <w:rPr>
                <w:rFonts w:ascii="Arial" w:hAnsi="Arial" w:cs="Arial"/>
                <w:color w:val="242424"/>
                <w:sz w:val="22"/>
                <w:szCs w:val="22"/>
                <w:lang w:val="lv-LV"/>
              </w:rPr>
              <w:t>SCB sistēmās izmantotās programmatūras pamatā ir jābūt šādām īpašām tehnoloģijām:</w:t>
            </w:r>
          </w:p>
          <w:p w14:paraId="4800621C" w14:textId="77777777" w:rsidR="00331418" w:rsidRPr="007211D8" w:rsidRDefault="00331418" w:rsidP="00EA23FF">
            <w:pPr>
              <w:numPr>
                <w:ilvl w:val="1"/>
                <w:numId w:val="1"/>
              </w:numPr>
              <w:shd w:val="clear" w:color="auto" w:fill="FFFFFF"/>
              <w:ind w:left="174" w:firstLine="0"/>
              <w:rPr>
                <w:rFonts w:ascii="Arial" w:hAnsi="Arial" w:cs="Arial"/>
                <w:color w:val="242424"/>
                <w:sz w:val="22"/>
                <w:szCs w:val="22"/>
                <w:lang w:val="lv-LV"/>
              </w:rPr>
            </w:pPr>
            <w:r w:rsidRPr="007211D8">
              <w:rPr>
                <w:rFonts w:ascii="Arial" w:hAnsi="Arial" w:cs="Arial"/>
                <w:color w:val="242424"/>
                <w:sz w:val="22"/>
                <w:szCs w:val="22"/>
                <w:lang w:val="lv-LV"/>
              </w:rPr>
              <w:t>……</w:t>
            </w:r>
          </w:p>
          <w:p w14:paraId="51C099B9" w14:textId="77777777" w:rsidR="00331418" w:rsidRPr="007211D8" w:rsidRDefault="00331418" w:rsidP="00EA23FF">
            <w:pPr>
              <w:numPr>
                <w:ilvl w:val="1"/>
                <w:numId w:val="1"/>
              </w:numPr>
              <w:shd w:val="clear" w:color="auto" w:fill="FFFFFF"/>
              <w:ind w:left="174" w:firstLine="0"/>
              <w:rPr>
                <w:rFonts w:ascii="Arial" w:hAnsi="Arial" w:cs="Arial"/>
                <w:color w:val="242424"/>
                <w:sz w:val="22"/>
                <w:szCs w:val="22"/>
                <w:lang w:val="lv-LV"/>
              </w:rPr>
            </w:pPr>
            <w:r w:rsidRPr="007211D8">
              <w:rPr>
                <w:rFonts w:ascii="Arial" w:hAnsi="Arial" w:cs="Arial"/>
                <w:color w:val="242424"/>
                <w:sz w:val="22"/>
                <w:szCs w:val="22"/>
                <w:lang w:val="lv-LV"/>
              </w:rPr>
              <w:t>„programmatūras dublēšanas” tehnoloģija: papildu algoritmu ieviešana līdzās funkcijas izpildei nepieciešamajiem. Tas ļauj vienu darbību aprakstīt dažādos veidos;</w:t>
            </w:r>
          </w:p>
          <w:p w14:paraId="64D627F8" w14:textId="77777777" w:rsidR="00331418" w:rsidRPr="007211D8" w:rsidRDefault="00331418" w:rsidP="00EA23FF">
            <w:pPr>
              <w:numPr>
                <w:ilvl w:val="1"/>
                <w:numId w:val="1"/>
              </w:numPr>
              <w:shd w:val="clear" w:color="auto" w:fill="FFFFFF"/>
              <w:ind w:left="174" w:firstLine="0"/>
              <w:rPr>
                <w:rFonts w:ascii="Arial" w:hAnsi="Arial" w:cs="Arial"/>
                <w:color w:val="242424"/>
                <w:sz w:val="22"/>
                <w:szCs w:val="22"/>
                <w:lang w:val="lv-LV"/>
              </w:rPr>
            </w:pPr>
            <w:r w:rsidRPr="007211D8">
              <w:rPr>
                <w:rFonts w:ascii="Arial" w:hAnsi="Arial" w:cs="Arial"/>
                <w:color w:val="242424"/>
                <w:sz w:val="22"/>
                <w:szCs w:val="22"/>
                <w:lang w:val="lv-LV"/>
              </w:rPr>
              <w:t>„rezerves informācijas” tehnoloģijas, kas aizsargā datus un datu apstrādes darbības, izmantojot rezerves mehānismus datu attēlošanas modalitātēs un tādējādi ļaujot pārbaudīt to ticamību.</w:t>
            </w:r>
          </w:p>
          <w:p w14:paraId="06C8462A" w14:textId="77777777" w:rsidR="00331418" w:rsidRPr="007211D8" w:rsidRDefault="00331418" w:rsidP="00EA23FF">
            <w:pPr>
              <w:shd w:val="clear" w:color="auto" w:fill="FFFFFF"/>
              <w:rPr>
                <w:rFonts w:ascii="Arial" w:hAnsi="Arial" w:cs="Arial"/>
                <w:color w:val="242424"/>
                <w:sz w:val="22"/>
                <w:szCs w:val="22"/>
                <w:lang w:val="lv-LV"/>
              </w:rPr>
            </w:pPr>
            <w:r w:rsidRPr="007211D8">
              <w:rPr>
                <w:rFonts w:ascii="Arial" w:hAnsi="Arial" w:cs="Arial"/>
                <w:color w:val="242424"/>
                <w:sz w:val="22"/>
                <w:szCs w:val="22"/>
                <w:lang w:val="lv-LV"/>
              </w:rPr>
              <w:t>“</w:t>
            </w:r>
          </w:p>
          <w:p w14:paraId="4C387068" w14:textId="77777777" w:rsidR="00331418" w:rsidRPr="007211D8" w:rsidRDefault="00331418" w:rsidP="00EA23FF">
            <w:pPr>
              <w:shd w:val="clear" w:color="auto" w:fill="FFFFFF"/>
              <w:ind w:firstLine="720"/>
              <w:rPr>
                <w:rFonts w:ascii="Arial" w:hAnsi="Arial" w:cs="Arial"/>
                <w:color w:val="242424"/>
                <w:sz w:val="22"/>
                <w:szCs w:val="22"/>
                <w:lang w:val="lv-LV"/>
              </w:rPr>
            </w:pPr>
            <w:r w:rsidRPr="007211D8">
              <w:rPr>
                <w:rFonts w:ascii="Arial" w:hAnsi="Arial" w:cs="Arial"/>
                <w:color w:val="242424"/>
                <w:sz w:val="22"/>
                <w:szCs w:val="22"/>
                <w:lang w:val="lv-LV"/>
              </w:rPr>
              <w:t>Šīs divas tehnoloģijas ir daļa no CENELEC 50128 standarta tehniskās drošības sasniegšanai, kas nosaka iespējamās paņēmienu kombinācijas, kā sasniegt nepieciešamo drošības līmeni (SIL).</w:t>
            </w:r>
          </w:p>
          <w:p w14:paraId="2C3D13A2" w14:textId="77777777" w:rsidR="00331418" w:rsidRPr="007211D8" w:rsidRDefault="00331418" w:rsidP="00EA23FF">
            <w:pPr>
              <w:shd w:val="clear" w:color="auto" w:fill="FFFFFF"/>
              <w:ind w:firstLine="720"/>
              <w:rPr>
                <w:rFonts w:ascii="Arial" w:hAnsi="Arial" w:cs="Arial"/>
                <w:color w:val="242424"/>
                <w:sz w:val="22"/>
                <w:szCs w:val="22"/>
                <w:lang w:val="lv-LV"/>
              </w:rPr>
            </w:pPr>
            <w:r w:rsidRPr="007211D8">
              <w:rPr>
                <w:rFonts w:ascii="Arial" w:hAnsi="Arial" w:cs="Arial"/>
                <w:color w:val="242424"/>
                <w:sz w:val="22"/>
                <w:szCs w:val="22"/>
                <w:lang w:val="lv-LV"/>
              </w:rPr>
              <w:t>Tā vietā, lai prasītu konkrētu veidu kā panākt tehnisko drošību, lūdzam Pasūtītāju grozīt iepriekš minētos 2 apakšpunktus ar prasību par nepieciešamā SIL4 sasniegšanu, kuru jāapstiprina, jāgarantē neatkarīgam drošības sistēmas novērtētājam.</w:t>
            </w:r>
          </w:p>
          <w:p w14:paraId="3E26FD20" w14:textId="77777777" w:rsidR="00331418" w:rsidRPr="007211D8" w:rsidRDefault="00331418" w:rsidP="00EA23FF">
            <w:pPr>
              <w:shd w:val="clear" w:color="auto" w:fill="FFFFFF"/>
              <w:ind w:firstLine="720"/>
              <w:rPr>
                <w:rFonts w:ascii="Arial" w:hAnsi="Arial" w:cs="Arial"/>
                <w:color w:val="242424"/>
                <w:sz w:val="22"/>
                <w:szCs w:val="22"/>
                <w:lang w:val="lv-LV"/>
              </w:rPr>
            </w:pPr>
            <w:r w:rsidRPr="007211D8">
              <w:rPr>
                <w:rFonts w:ascii="Arial" w:hAnsi="Arial" w:cs="Arial"/>
                <w:color w:val="242424"/>
                <w:sz w:val="22"/>
                <w:szCs w:val="22"/>
                <w:lang w:val="lv-LV"/>
              </w:rPr>
              <w:t xml:space="preserve">SIL4 prasība ir pietiekama, un nav nepieciešams definēt detalizētas specifikācijas par to, kā tiek panākta drošība. Detalizētas </w:t>
            </w:r>
            <w:r w:rsidRPr="007211D8">
              <w:rPr>
                <w:rFonts w:ascii="Arial" w:hAnsi="Arial" w:cs="Arial"/>
                <w:color w:val="242424"/>
                <w:sz w:val="22"/>
                <w:szCs w:val="22"/>
                <w:lang w:val="lv-LV"/>
              </w:rPr>
              <w:lastRenderedPageBreak/>
              <w:t>prasības kā jāsasniedz drošības līmenis noved pie vienlīdz labu sistēmu izslēgšanas no konkursa, kuru pamatā ir citādi veidi kā sasniegt konkrēto drošības līmeni, bet pēc standarta izmanto atbilstošus tehnisko paņēmienu kombinācijas.</w:t>
            </w:r>
          </w:p>
        </w:tc>
        <w:tc>
          <w:tcPr>
            <w:tcW w:w="4325" w:type="dxa"/>
            <w:tcBorders>
              <w:top w:val="single" w:sz="4" w:space="0" w:color="auto"/>
              <w:left w:val="single" w:sz="4" w:space="0" w:color="auto"/>
              <w:bottom w:val="single" w:sz="4" w:space="0" w:color="auto"/>
              <w:right w:val="single" w:sz="4" w:space="0" w:color="auto"/>
            </w:tcBorders>
          </w:tcPr>
          <w:p w14:paraId="78C99534" w14:textId="77777777" w:rsidR="00331418" w:rsidRPr="007211D8" w:rsidRDefault="00331418" w:rsidP="00EA23FF">
            <w:pPr>
              <w:rPr>
                <w:rFonts w:ascii="Arial" w:hAnsi="Arial" w:cs="Arial"/>
                <w:sz w:val="22"/>
                <w:szCs w:val="22"/>
                <w:lang w:val="lv-LV"/>
              </w:rPr>
            </w:pPr>
            <w:r w:rsidRPr="007211D8">
              <w:rPr>
                <w:rFonts w:ascii="Arial" w:hAnsi="Arial" w:cs="Arial"/>
                <w:sz w:val="22"/>
                <w:szCs w:val="22"/>
                <w:lang w:val="lv-LV"/>
              </w:rPr>
              <w:lastRenderedPageBreak/>
              <w:t xml:space="preserve">Atbilstoši Nolikuma 2.pielikuma 2.4.2.punkta prasībām centralizācijas sistēmas programmatūrai pilnībā jāatbilst Elektrotehniskās standartizācijas komitejas (CENELEC) EN50128 standarta prasībām. Informējam, ka atbilstoši CENELEC standarta EN 50128 </w:t>
            </w:r>
            <w:proofErr w:type="spellStart"/>
            <w:r w:rsidRPr="007211D8">
              <w:rPr>
                <w:rFonts w:ascii="Arial" w:hAnsi="Arial" w:cs="Arial"/>
                <w:sz w:val="22"/>
                <w:szCs w:val="22"/>
                <w:lang w:val="lv-LV"/>
              </w:rPr>
              <w:t>A.pielikuma</w:t>
            </w:r>
            <w:proofErr w:type="spellEnd"/>
            <w:r w:rsidRPr="007211D8">
              <w:rPr>
                <w:rFonts w:ascii="Arial" w:hAnsi="Arial" w:cs="Arial"/>
                <w:sz w:val="22"/>
                <w:szCs w:val="22"/>
                <w:lang w:val="lv-LV"/>
              </w:rPr>
              <w:t xml:space="preserve"> “Metožu un pasākumu izvēles kritēriji” norādījumiem diversificētas programmēšanas pielietošana SIL4 sistēmās ir ļoti ieteicama. Standartā ir sniegta atruna, ka gadījumā, ja noteikto paņēmienu vai pasākumu neizmanto, alternatīvu paņēmienu izmantošanas pamatojumu sīki izklāsta Programmatūras kvalitātes nodrošināšanas plānā vai citā dokumentā, uz kuru atsaucas Programmatūras kvalitātes nodrošināšanas plāns. Ievērojot iepriekš minēto informējam, ka visas atkāpes no EN50128 rekomendācijām un no Nolikuma 2.pielikuma 2.3.5.2.punktā minētām prasībām jāsaskaņo ar Pasūtītāju projektēšanas laikā.</w:t>
            </w:r>
          </w:p>
          <w:p w14:paraId="686DF143" w14:textId="77777777" w:rsidR="00331418" w:rsidRPr="007211D8" w:rsidRDefault="00331418" w:rsidP="00EA23FF">
            <w:pPr>
              <w:rPr>
                <w:rFonts w:ascii="Arial" w:hAnsi="Arial" w:cs="Arial"/>
                <w:sz w:val="22"/>
                <w:szCs w:val="22"/>
                <w:lang w:val="lv-LV"/>
              </w:rPr>
            </w:pPr>
          </w:p>
          <w:p w14:paraId="5CCD7D77" w14:textId="77777777" w:rsidR="00331418" w:rsidRPr="007211D8" w:rsidRDefault="00331418" w:rsidP="00EA23FF">
            <w:pPr>
              <w:rPr>
                <w:rFonts w:ascii="Arial" w:hAnsi="Arial" w:cs="Arial"/>
                <w:sz w:val="22"/>
                <w:szCs w:val="22"/>
              </w:rPr>
            </w:pPr>
            <w:proofErr w:type="spellStart"/>
            <w:r w:rsidRPr="007211D8">
              <w:rPr>
                <w:rFonts w:ascii="Arial" w:hAnsi="Arial" w:cs="Arial"/>
                <w:sz w:val="22"/>
                <w:szCs w:val="22"/>
              </w:rPr>
              <w:t>Grozījumi</w:t>
            </w:r>
            <w:proofErr w:type="spellEnd"/>
            <w:r w:rsidRPr="007211D8">
              <w:rPr>
                <w:rFonts w:ascii="Arial" w:hAnsi="Arial" w:cs="Arial"/>
                <w:sz w:val="22"/>
                <w:szCs w:val="22"/>
              </w:rPr>
              <w:t xml:space="preserve"> </w:t>
            </w:r>
            <w:proofErr w:type="spellStart"/>
            <w:r w:rsidRPr="007211D8">
              <w:rPr>
                <w:rFonts w:ascii="Arial" w:hAnsi="Arial" w:cs="Arial"/>
                <w:sz w:val="22"/>
                <w:szCs w:val="22"/>
              </w:rPr>
              <w:t>Nolikumā</w:t>
            </w:r>
            <w:proofErr w:type="spellEnd"/>
            <w:r w:rsidRPr="007211D8">
              <w:rPr>
                <w:rFonts w:ascii="Arial" w:hAnsi="Arial" w:cs="Arial"/>
                <w:sz w:val="22"/>
                <w:szCs w:val="22"/>
              </w:rPr>
              <w:t xml:space="preserve"> </w:t>
            </w:r>
            <w:proofErr w:type="spellStart"/>
            <w:r w:rsidRPr="007211D8">
              <w:rPr>
                <w:rFonts w:ascii="Arial" w:hAnsi="Arial" w:cs="Arial"/>
                <w:sz w:val="22"/>
                <w:szCs w:val="22"/>
              </w:rPr>
              <w:t>netiks</w:t>
            </w:r>
            <w:proofErr w:type="spellEnd"/>
            <w:r w:rsidRPr="007211D8">
              <w:rPr>
                <w:rFonts w:ascii="Arial" w:hAnsi="Arial" w:cs="Arial"/>
                <w:sz w:val="22"/>
                <w:szCs w:val="22"/>
              </w:rPr>
              <w:t xml:space="preserve"> </w:t>
            </w:r>
            <w:proofErr w:type="spellStart"/>
            <w:r w:rsidRPr="007211D8">
              <w:rPr>
                <w:rFonts w:ascii="Arial" w:hAnsi="Arial" w:cs="Arial"/>
                <w:sz w:val="22"/>
                <w:szCs w:val="22"/>
              </w:rPr>
              <w:t>veikti</w:t>
            </w:r>
            <w:proofErr w:type="spellEnd"/>
            <w:r w:rsidRPr="007211D8">
              <w:rPr>
                <w:rFonts w:ascii="Arial" w:hAnsi="Arial" w:cs="Arial"/>
                <w:sz w:val="22"/>
                <w:szCs w:val="22"/>
              </w:rPr>
              <w:t>.</w:t>
            </w:r>
          </w:p>
          <w:p w14:paraId="52532E2C" w14:textId="77777777" w:rsidR="00331418" w:rsidRPr="007211D8" w:rsidRDefault="00331418" w:rsidP="00EA23FF">
            <w:pPr>
              <w:rPr>
                <w:rFonts w:ascii="Arial" w:hAnsi="Arial" w:cs="Arial"/>
                <w:sz w:val="22"/>
                <w:szCs w:val="22"/>
                <w:lang w:val="lv-LV"/>
              </w:rPr>
            </w:pPr>
          </w:p>
        </w:tc>
      </w:tr>
      <w:tr w:rsidR="00331418" w:rsidRPr="00C61896" w14:paraId="76098F11" w14:textId="77777777" w:rsidTr="00EA23FF">
        <w:trPr>
          <w:trHeight w:val="173"/>
        </w:trPr>
        <w:tc>
          <w:tcPr>
            <w:tcW w:w="4761" w:type="dxa"/>
            <w:tcBorders>
              <w:top w:val="single" w:sz="4" w:space="0" w:color="auto"/>
              <w:left w:val="single" w:sz="4" w:space="0" w:color="auto"/>
              <w:bottom w:val="single" w:sz="4" w:space="0" w:color="auto"/>
              <w:right w:val="single" w:sz="4" w:space="0" w:color="auto"/>
            </w:tcBorders>
          </w:tcPr>
          <w:p w14:paraId="3469C2C1" w14:textId="77777777" w:rsidR="00331418" w:rsidRPr="00C61896" w:rsidRDefault="00331418" w:rsidP="00EA23FF">
            <w:pPr>
              <w:spacing w:line="256" w:lineRule="auto"/>
              <w:rPr>
                <w:rFonts w:ascii="Arial" w:hAnsi="Arial" w:cs="Arial"/>
                <w:sz w:val="22"/>
                <w:szCs w:val="22"/>
                <w:lang w:val="lv-LV"/>
              </w:rPr>
            </w:pPr>
            <w:r w:rsidRPr="00C61896">
              <w:rPr>
                <w:rFonts w:ascii="Arial" w:hAnsi="Arial" w:cs="Arial"/>
                <w:sz w:val="22"/>
                <w:szCs w:val="22"/>
                <w:lang w:val="lv-LV"/>
              </w:rPr>
              <w:t>Lūdzam apstiprināt, ka pieredze “pēdējo 5 gadu laikā” iekļauj arī projektus, kas pabeigti un nodoti ekspluatācijā no 2017.gada janvāra līdz piedāvājuma iesniegšanas dienai, 30.09.2022.</w:t>
            </w:r>
          </w:p>
        </w:tc>
        <w:tc>
          <w:tcPr>
            <w:tcW w:w="4325" w:type="dxa"/>
            <w:tcBorders>
              <w:top w:val="single" w:sz="4" w:space="0" w:color="auto"/>
              <w:left w:val="single" w:sz="4" w:space="0" w:color="auto"/>
              <w:bottom w:val="single" w:sz="4" w:space="0" w:color="auto"/>
              <w:right w:val="single" w:sz="4" w:space="0" w:color="auto"/>
            </w:tcBorders>
          </w:tcPr>
          <w:p w14:paraId="58612FC4" w14:textId="77777777" w:rsidR="00331418" w:rsidRPr="00C61896" w:rsidRDefault="00331418" w:rsidP="00EA23FF">
            <w:pPr>
              <w:pStyle w:val="tv213"/>
              <w:shd w:val="clear" w:color="auto" w:fill="FFFFFF"/>
              <w:spacing w:before="0" w:beforeAutospacing="0" w:after="0" w:afterAutospacing="0"/>
              <w:rPr>
                <w:rFonts w:ascii="Arial" w:hAnsi="Arial" w:cs="Arial"/>
                <w:color w:val="000000"/>
              </w:rPr>
            </w:pPr>
            <w:r w:rsidRPr="00C61896">
              <w:rPr>
                <w:rFonts w:ascii="Arial" w:hAnsi="Arial" w:cs="Arial"/>
                <w:color w:val="000000"/>
              </w:rPr>
              <w:t>Atbilstoši SPSIL 52.panta trešajai daļai Piegādātāja tehniskās un profesionālās spējas var apliecināt ar informāciju par veiktajiem būvdarbiem, pievienojot izziņas un atsauksmes par svarīgāko darbu izpildi ne vairāk kā piecos iepriekšējos gados, izņemot gadījumu, kad konkurences veicināšanai sabiedrisko pakalpojumu sniedzējs ir noteicis garāku pieredzes apliecināšanas termiņu.</w:t>
            </w:r>
          </w:p>
          <w:p w14:paraId="23726140" w14:textId="77777777" w:rsidR="00331418" w:rsidRPr="00C61896" w:rsidRDefault="00331418" w:rsidP="00EA23FF">
            <w:pPr>
              <w:pStyle w:val="tv213"/>
              <w:shd w:val="clear" w:color="auto" w:fill="FFFFFF"/>
              <w:spacing w:before="0" w:beforeAutospacing="0" w:after="0" w:afterAutospacing="0"/>
              <w:rPr>
                <w:rFonts w:ascii="Arial" w:hAnsi="Arial" w:cs="Arial"/>
                <w:color w:val="000000"/>
              </w:rPr>
            </w:pPr>
            <w:r w:rsidRPr="00C61896">
              <w:rPr>
                <w:rFonts w:ascii="Arial" w:hAnsi="Arial" w:cs="Arial"/>
                <w:color w:val="000000"/>
              </w:rPr>
              <w:t xml:space="preserve"> Līdz ar to pretendents var iesniegt informāciju, kas apstiprina pieredzi no 2017.gada janvāra mēneša. </w:t>
            </w:r>
          </w:p>
        </w:tc>
      </w:tr>
      <w:bookmarkEnd w:id="0"/>
      <w:bookmarkEnd w:id="1"/>
    </w:tbl>
    <w:p w14:paraId="67C26F91" w14:textId="77777777" w:rsidR="00331418" w:rsidRDefault="00331418" w:rsidP="00331418">
      <w:pPr>
        <w:tabs>
          <w:tab w:val="left" w:pos="7530"/>
        </w:tabs>
        <w:rPr>
          <w:rFonts w:ascii="Arial" w:hAnsi="Arial" w:cs="Arial"/>
          <w:sz w:val="22"/>
          <w:lang w:val="lv-LV"/>
        </w:rPr>
      </w:pPr>
    </w:p>
    <w:p w14:paraId="5D1C42F4" w14:textId="77777777" w:rsidR="0098236C" w:rsidRPr="00C20434" w:rsidRDefault="0098236C">
      <w:pPr>
        <w:rPr>
          <w:rFonts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DC1"/>
    <w:multiLevelType w:val="multilevel"/>
    <w:tmpl w:val="CB7E2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8A"/>
    <w:rsid w:val="00121899"/>
    <w:rsid w:val="003204EA"/>
    <w:rsid w:val="00331418"/>
    <w:rsid w:val="00352BA7"/>
    <w:rsid w:val="0041088A"/>
    <w:rsid w:val="00542C95"/>
    <w:rsid w:val="0098236C"/>
    <w:rsid w:val="00B93E99"/>
    <w:rsid w:val="00C20434"/>
    <w:rsid w:val="00C61896"/>
    <w:rsid w:val="00E6451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98B4"/>
  <w15:chartTrackingRefBased/>
  <w15:docId w15:val="{8A8569A9-1B39-426B-B02C-52F5EF1C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18"/>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31418"/>
    <w:pPr>
      <w:jc w:val="center"/>
    </w:pPr>
    <w:rPr>
      <w:sz w:val="28"/>
      <w:lang w:val="lv-LV" w:eastAsia="en-US"/>
    </w:rPr>
  </w:style>
  <w:style w:type="character" w:customStyle="1" w:styleId="TitleChar">
    <w:name w:val="Title Char"/>
    <w:basedOn w:val="DefaultParagraphFont"/>
    <w:link w:val="Title"/>
    <w:uiPriority w:val="99"/>
    <w:rsid w:val="00331418"/>
    <w:rPr>
      <w:rFonts w:ascii="Times New Roman" w:eastAsia="Times New Roman" w:hAnsi="Times New Roman" w:cs="Times New Roman"/>
      <w:sz w:val="28"/>
      <w:szCs w:val="20"/>
    </w:rPr>
  </w:style>
  <w:style w:type="table" w:styleId="TableGrid">
    <w:name w:val="Table Grid"/>
    <w:basedOn w:val="TableNormal"/>
    <w:uiPriority w:val="39"/>
    <w:rsid w:val="00331418"/>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331418"/>
    <w:pPr>
      <w:spacing w:line="252" w:lineRule="atLeast"/>
    </w:pPr>
    <w:rPr>
      <w:rFonts w:ascii="Calibri" w:eastAsiaTheme="minorHAnsi" w:hAnsi="Calibri" w:cs="Calibri"/>
      <w:sz w:val="22"/>
      <w:szCs w:val="22"/>
      <w:lang w:val="lv-LV" w:eastAsia="en-US"/>
    </w:rPr>
  </w:style>
  <w:style w:type="paragraph" w:customStyle="1" w:styleId="tv213">
    <w:name w:val="tv213"/>
    <w:basedOn w:val="Normal"/>
    <w:rsid w:val="00331418"/>
    <w:pPr>
      <w:spacing w:before="100" w:beforeAutospacing="1" w:after="100" w:afterAutospacing="1"/>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2237</Words>
  <Characters>1276</Characters>
  <Application>Microsoft Office Word</Application>
  <DocSecurity>0</DocSecurity>
  <Lines>10</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7</cp:revision>
  <dcterms:created xsi:type="dcterms:W3CDTF">2022-09-26T11:26:00Z</dcterms:created>
  <dcterms:modified xsi:type="dcterms:W3CDTF">2022-09-26T16:51:00Z</dcterms:modified>
</cp:coreProperties>
</file>