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1F38" w14:textId="77777777" w:rsidR="000A2ABC" w:rsidRPr="00B54FF6" w:rsidRDefault="000A2ABC" w:rsidP="000A2ABC">
      <w:pPr>
        <w:tabs>
          <w:tab w:val="left" w:pos="3760"/>
        </w:tabs>
        <w:ind w:left="-284" w:right="-625" w:firstLine="4394"/>
        <w:jc w:val="right"/>
        <w:rPr>
          <w:rFonts w:ascii="Arial" w:hAnsi="Arial" w:cs="Arial"/>
          <w:i/>
          <w:sz w:val="22"/>
          <w:szCs w:val="22"/>
          <w:lang w:val="lv-LV"/>
        </w:rPr>
      </w:pPr>
      <w:r w:rsidRPr="00B54FF6">
        <w:rPr>
          <w:rFonts w:ascii="Arial" w:hAnsi="Arial" w:cs="Arial"/>
          <w:i/>
          <w:sz w:val="22"/>
          <w:szCs w:val="22"/>
          <w:lang w:val="lv-LV"/>
        </w:rPr>
        <w:t>APSTIPRINĀTS:</w:t>
      </w:r>
    </w:p>
    <w:p w14:paraId="0955986A" w14:textId="3FACB93C" w:rsidR="000A2ABC" w:rsidRPr="00B54FF6" w:rsidRDefault="000A2ABC" w:rsidP="000A2ABC">
      <w:pPr>
        <w:tabs>
          <w:tab w:val="left" w:pos="3760"/>
        </w:tabs>
        <w:ind w:left="-284" w:right="-625" w:firstLine="4394"/>
        <w:jc w:val="right"/>
        <w:rPr>
          <w:rFonts w:ascii="Arial" w:hAnsi="Arial" w:cs="Arial"/>
          <w:i/>
          <w:sz w:val="22"/>
          <w:szCs w:val="22"/>
          <w:lang w:val="lv-LV"/>
        </w:rPr>
      </w:pPr>
      <w:r w:rsidRPr="00B54FF6">
        <w:rPr>
          <w:rFonts w:ascii="Arial" w:hAnsi="Arial" w:cs="Arial"/>
          <w:i/>
          <w:sz w:val="22"/>
          <w:szCs w:val="22"/>
          <w:lang w:val="lv-LV"/>
        </w:rPr>
        <w:t xml:space="preserve">ar iepirkuma komisijas </w:t>
      </w:r>
      <w:r w:rsidRPr="00B54FF6">
        <w:rPr>
          <w:rFonts w:ascii="Arial" w:eastAsia="Arial Unicode MS" w:hAnsi="Arial" w:cs="Arial"/>
          <w:i/>
          <w:sz w:val="22"/>
          <w:szCs w:val="22"/>
          <w:lang w:val="lv-LV"/>
        </w:rPr>
        <w:t xml:space="preserve">2022.gada </w:t>
      </w:r>
      <w:r w:rsidR="00311B4F" w:rsidRPr="00B54FF6">
        <w:rPr>
          <w:rFonts w:ascii="Arial" w:eastAsia="Arial Unicode MS" w:hAnsi="Arial" w:cs="Arial"/>
          <w:i/>
          <w:sz w:val="22"/>
          <w:szCs w:val="22"/>
          <w:lang w:val="lv-LV"/>
        </w:rPr>
        <w:t>10</w:t>
      </w:r>
      <w:r w:rsidRPr="00B54FF6">
        <w:rPr>
          <w:rFonts w:ascii="Arial" w:eastAsia="Arial Unicode MS" w:hAnsi="Arial" w:cs="Arial"/>
          <w:i/>
          <w:sz w:val="22"/>
          <w:szCs w:val="22"/>
          <w:lang w:val="lv-LV"/>
        </w:rPr>
        <w:t>.augusta</w:t>
      </w:r>
    </w:p>
    <w:p w14:paraId="33C4D1A8" w14:textId="77777777" w:rsidR="000A2ABC" w:rsidRPr="00B54FF6" w:rsidRDefault="000A2ABC" w:rsidP="000A2ABC">
      <w:pPr>
        <w:tabs>
          <w:tab w:val="left" w:pos="3760"/>
        </w:tabs>
        <w:ind w:left="-284" w:right="-625" w:firstLine="4394"/>
        <w:jc w:val="right"/>
        <w:rPr>
          <w:rFonts w:ascii="Arial" w:hAnsi="Arial" w:cs="Arial"/>
          <w:i/>
          <w:sz w:val="22"/>
          <w:szCs w:val="22"/>
          <w:lang w:val="lv-LV"/>
        </w:rPr>
      </w:pPr>
      <w:r w:rsidRPr="00B54FF6">
        <w:rPr>
          <w:rFonts w:ascii="Arial" w:eastAsia="Arial Unicode MS" w:hAnsi="Arial" w:cs="Arial"/>
          <w:i/>
          <w:sz w:val="22"/>
          <w:szCs w:val="22"/>
          <w:lang w:val="lv-LV"/>
        </w:rPr>
        <w:t xml:space="preserve">2.sēdes protokolu </w:t>
      </w:r>
    </w:p>
    <w:p w14:paraId="20ABE7E2" w14:textId="77777777" w:rsidR="000A2ABC" w:rsidRPr="00256143" w:rsidRDefault="000A2ABC" w:rsidP="000A2ABC">
      <w:pPr>
        <w:pStyle w:val="Title"/>
        <w:rPr>
          <w:b/>
          <w:sz w:val="24"/>
          <w:szCs w:val="24"/>
        </w:rPr>
      </w:pPr>
      <w:bookmarkStart w:id="0" w:name="_Hlk70322056"/>
    </w:p>
    <w:p w14:paraId="7794F029" w14:textId="77777777" w:rsidR="000A2ABC" w:rsidRPr="00256143" w:rsidRDefault="000A2ABC" w:rsidP="000A2ABC">
      <w:pPr>
        <w:jc w:val="center"/>
        <w:rPr>
          <w:rFonts w:ascii="Arial" w:eastAsiaTheme="minorHAnsi" w:hAnsi="Arial" w:cs="Arial"/>
          <w:b/>
          <w:sz w:val="22"/>
          <w:szCs w:val="22"/>
          <w:lang w:val="lv-LV"/>
        </w:rPr>
      </w:pPr>
      <w:r w:rsidRPr="00256143">
        <w:rPr>
          <w:rFonts w:ascii="Arial" w:hAnsi="Arial" w:cs="Arial"/>
          <w:b/>
          <w:sz w:val="22"/>
          <w:szCs w:val="22"/>
          <w:lang w:val="lv-LV"/>
        </w:rPr>
        <w:t>„</w:t>
      </w:r>
      <w:r w:rsidRPr="00256143">
        <w:rPr>
          <w:rFonts w:ascii="Arial" w:hAnsi="Arial" w:cs="Arial"/>
          <w:b/>
          <w:bCs/>
          <w:sz w:val="22"/>
          <w:szCs w:val="22"/>
          <w:lang w:val="lv-LV"/>
        </w:rPr>
        <w:t>Dobeles stacijas centralizācijas sistēmas modernizācija</w:t>
      </w:r>
      <w:r w:rsidRPr="00256143">
        <w:rPr>
          <w:rFonts w:ascii="Arial" w:hAnsi="Arial" w:cs="Arial"/>
          <w:b/>
          <w:sz w:val="22"/>
          <w:szCs w:val="22"/>
          <w:lang w:val="lv-LV"/>
        </w:rPr>
        <w:t xml:space="preserve">” (iepirkuma </w:t>
      </w:r>
      <w:proofErr w:type="spellStart"/>
      <w:r w:rsidRPr="00256143">
        <w:rPr>
          <w:rFonts w:ascii="Arial" w:hAnsi="Arial" w:cs="Arial"/>
          <w:b/>
          <w:sz w:val="22"/>
          <w:szCs w:val="22"/>
          <w:lang w:val="lv-LV"/>
        </w:rPr>
        <w:t>Id.Nr</w:t>
      </w:r>
      <w:proofErr w:type="spellEnd"/>
      <w:r w:rsidRPr="00256143">
        <w:rPr>
          <w:rFonts w:ascii="Arial" w:hAnsi="Arial" w:cs="Arial"/>
          <w:b/>
          <w:sz w:val="22"/>
          <w:szCs w:val="22"/>
          <w:lang w:val="lv-LV"/>
        </w:rPr>
        <w:t>. LDZ 2022/33-SPAV)</w:t>
      </w:r>
    </w:p>
    <w:p w14:paraId="52417B75" w14:textId="77777777" w:rsidR="000A2ABC" w:rsidRPr="00256143" w:rsidRDefault="000A2ABC" w:rsidP="000A2ABC">
      <w:pPr>
        <w:pStyle w:val="Title"/>
        <w:rPr>
          <w:b/>
          <w:sz w:val="24"/>
          <w:szCs w:val="24"/>
        </w:rPr>
      </w:pPr>
    </w:p>
    <w:p w14:paraId="352A1697" w14:textId="77777777" w:rsidR="000A2ABC" w:rsidRPr="00256143" w:rsidRDefault="000A2ABC" w:rsidP="000A2ABC">
      <w:pPr>
        <w:jc w:val="center"/>
        <w:rPr>
          <w:b/>
          <w:sz w:val="24"/>
          <w:szCs w:val="24"/>
          <w:lang w:val="lv-LV"/>
        </w:rPr>
      </w:pPr>
      <w:r w:rsidRPr="00256143">
        <w:rPr>
          <w:b/>
          <w:sz w:val="24"/>
          <w:szCs w:val="24"/>
          <w:lang w:val="lv-LV"/>
        </w:rPr>
        <w:t>SKAIDROJUMS Nr.</w:t>
      </w:r>
      <w:bookmarkEnd w:id="0"/>
      <w:r w:rsidRPr="00256143">
        <w:rPr>
          <w:b/>
          <w:sz w:val="24"/>
          <w:szCs w:val="24"/>
          <w:lang w:val="lv-LV"/>
        </w:rPr>
        <w:t>1</w:t>
      </w:r>
    </w:p>
    <w:tbl>
      <w:tblPr>
        <w:tblStyle w:val="TableGrid"/>
        <w:tblW w:w="9776" w:type="dxa"/>
        <w:jc w:val="center"/>
        <w:tblLayout w:type="fixed"/>
        <w:tblLook w:val="04A0" w:firstRow="1" w:lastRow="0" w:firstColumn="1" w:lastColumn="0" w:noHBand="0" w:noVBand="1"/>
      </w:tblPr>
      <w:tblGrid>
        <w:gridCol w:w="5807"/>
        <w:gridCol w:w="3969"/>
      </w:tblGrid>
      <w:tr w:rsidR="000A2ABC" w:rsidRPr="00256143" w14:paraId="0FF24084" w14:textId="77777777" w:rsidTr="003351AE">
        <w:trPr>
          <w:trHeight w:val="543"/>
          <w:jc w:val="center"/>
        </w:trPr>
        <w:tc>
          <w:tcPr>
            <w:tcW w:w="5807" w:type="dxa"/>
            <w:tcBorders>
              <w:top w:val="single" w:sz="4" w:space="0" w:color="auto"/>
              <w:left w:val="single" w:sz="4" w:space="0" w:color="auto"/>
              <w:bottom w:val="single" w:sz="4" w:space="0" w:color="auto"/>
              <w:right w:val="single" w:sz="4" w:space="0" w:color="auto"/>
            </w:tcBorders>
            <w:shd w:val="clear" w:color="auto" w:fill="FFF2CC"/>
            <w:hideMark/>
          </w:tcPr>
          <w:p w14:paraId="2AB16597" w14:textId="77777777" w:rsidR="000A2ABC" w:rsidRPr="00256143" w:rsidRDefault="000A2ABC" w:rsidP="00027DE3">
            <w:pPr>
              <w:jc w:val="center"/>
              <w:rPr>
                <w:rFonts w:ascii="Arial" w:eastAsia="Calibri" w:hAnsi="Arial" w:cs="Arial"/>
                <w:b/>
                <w:i/>
                <w:lang w:val="lv-LV"/>
              </w:rPr>
            </w:pPr>
            <w:r w:rsidRPr="00256143">
              <w:rPr>
                <w:rFonts w:ascii="Arial" w:eastAsia="Calibri" w:hAnsi="Arial" w:cs="Arial"/>
                <w:b/>
                <w:i/>
                <w:lang w:val="lv-LV"/>
              </w:rPr>
              <w:t>Jautājums</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931750" w14:textId="2A06562D" w:rsidR="000A2ABC" w:rsidRPr="00256143" w:rsidRDefault="00027DE3" w:rsidP="00CC7E74">
            <w:pPr>
              <w:jc w:val="center"/>
              <w:rPr>
                <w:rFonts w:ascii="Arial" w:eastAsia="Calibri" w:hAnsi="Arial" w:cs="Arial"/>
                <w:b/>
                <w:i/>
                <w:lang w:val="lv-LV"/>
              </w:rPr>
            </w:pPr>
            <w:r w:rsidRPr="00256143">
              <w:rPr>
                <w:rFonts w:ascii="Arial" w:eastAsia="Calibri" w:hAnsi="Arial" w:cs="Arial"/>
                <w:b/>
                <w:i/>
                <w:lang w:val="lv-LV"/>
              </w:rPr>
              <w:t>Iepirkuma komisijas a</w:t>
            </w:r>
            <w:r w:rsidR="000A2ABC" w:rsidRPr="00256143">
              <w:rPr>
                <w:rFonts w:ascii="Arial" w:eastAsia="Calibri" w:hAnsi="Arial" w:cs="Arial"/>
                <w:b/>
                <w:i/>
                <w:lang w:val="lv-LV"/>
              </w:rPr>
              <w:t>tbilde</w:t>
            </w:r>
          </w:p>
        </w:tc>
      </w:tr>
      <w:tr w:rsidR="00311B4F" w:rsidRPr="00B54FF6" w14:paraId="0B69C9B9"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3FC86224" w14:textId="3EBE9E04"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Vai ir apstiprināts tehniskais risinājums (vai citu projektu realizācijas piemērs), pēc kura var izstrādāt </w:t>
            </w:r>
            <w:proofErr w:type="spellStart"/>
            <w:r w:rsidRPr="00256143">
              <w:rPr>
                <w:rFonts w:ascii="Arial" w:eastAsia="Times New Roman" w:hAnsi="Arial" w:cs="Arial"/>
                <w:sz w:val="20"/>
                <w:szCs w:val="20"/>
              </w:rPr>
              <w:t>bezsignālu</w:t>
            </w:r>
            <w:proofErr w:type="spellEnd"/>
            <w:r w:rsidRPr="00256143">
              <w:rPr>
                <w:rFonts w:ascii="Arial" w:eastAsia="Times New Roman" w:hAnsi="Arial" w:cs="Arial"/>
                <w:sz w:val="20"/>
                <w:szCs w:val="20"/>
              </w:rPr>
              <w:t>  automātiskās bloķēšanas sistēma ar asu skatītājiem Glūda – Dobele;  Dobele – Biksti?</w:t>
            </w:r>
          </w:p>
        </w:tc>
        <w:tc>
          <w:tcPr>
            <w:tcW w:w="3969" w:type="dxa"/>
            <w:tcBorders>
              <w:left w:val="single" w:sz="4" w:space="0" w:color="auto"/>
              <w:right w:val="single" w:sz="4" w:space="0" w:color="auto"/>
            </w:tcBorders>
          </w:tcPr>
          <w:p w14:paraId="0C9E5EDF" w14:textId="77777777" w:rsidR="00311B4F" w:rsidRPr="00256143" w:rsidRDefault="00311B4F" w:rsidP="00311B4F">
            <w:pPr>
              <w:rPr>
                <w:rFonts w:ascii="Arial" w:hAnsi="Arial" w:cs="Arial"/>
                <w:lang w:val="lv-LV"/>
              </w:rPr>
            </w:pPr>
            <w:r w:rsidRPr="00256143">
              <w:rPr>
                <w:rFonts w:ascii="Arial" w:hAnsi="Arial" w:cs="Arial"/>
                <w:lang w:val="lv-LV"/>
              </w:rPr>
              <w:t xml:space="preserve">1. Dobeles stacijai pieguļošie posmi jāaprīko ar </w:t>
            </w:r>
            <w:proofErr w:type="spellStart"/>
            <w:r w:rsidRPr="00256143">
              <w:rPr>
                <w:rFonts w:ascii="Arial" w:hAnsi="Arial" w:cs="Arial"/>
                <w:lang w:val="lv-LV"/>
              </w:rPr>
              <w:t>bezsignālu</w:t>
            </w:r>
            <w:proofErr w:type="spellEnd"/>
            <w:r w:rsidRPr="00256143">
              <w:rPr>
                <w:rFonts w:ascii="Arial" w:hAnsi="Arial" w:cs="Arial"/>
                <w:lang w:val="lv-LV"/>
              </w:rPr>
              <w:t xml:space="preserve"> automātiskās bloķēšanas sistēmu, kas ir vienāda ar ceļa posmā Liepāja – </w:t>
            </w:r>
            <w:proofErr w:type="spellStart"/>
            <w:r w:rsidRPr="00256143">
              <w:rPr>
                <w:rFonts w:ascii="Arial" w:hAnsi="Arial" w:cs="Arial"/>
                <w:lang w:val="lv-LV"/>
              </w:rPr>
              <w:t>Tore</w:t>
            </w:r>
            <w:proofErr w:type="spellEnd"/>
            <w:r w:rsidRPr="00256143">
              <w:rPr>
                <w:rFonts w:ascii="Arial" w:hAnsi="Arial" w:cs="Arial"/>
                <w:lang w:val="lv-LV"/>
              </w:rPr>
              <w:t xml:space="preserve"> ekspluatācijā esošo sistēmu. </w:t>
            </w:r>
          </w:p>
          <w:p w14:paraId="6857CD3F" w14:textId="32AA4936" w:rsidR="00311B4F" w:rsidRPr="00256143" w:rsidRDefault="00311B4F" w:rsidP="00311B4F">
            <w:pPr>
              <w:rPr>
                <w:rFonts w:ascii="Arial" w:hAnsi="Arial" w:cs="Arial"/>
                <w:lang w:val="lv-LV"/>
              </w:rPr>
            </w:pPr>
            <w:proofErr w:type="spellStart"/>
            <w:r w:rsidRPr="00256143">
              <w:rPr>
                <w:rFonts w:ascii="Arial" w:hAnsi="Arial" w:cs="Arial"/>
                <w:lang w:val="lv-LV"/>
              </w:rPr>
              <w:t>Bezsignālu</w:t>
            </w:r>
            <w:proofErr w:type="spellEnd"/>
            <w:r w:rsidRPr="00256143">
              <w:rPr>
                <w:rFonts w:ascii="Arial" w:hAnsi="Arial" w:cs="Arial"/>
                <w:lang w:val="lv-LV"/>
              </w:rPr>
              <w:t xml:space="preserve"> automātiskas bloķēšanas sistēmas projektēšanai var izmantot tipveida rasinājumus “Automātiskas bloķēšanas virziena maiņas shēmas” (AB-18-81  un I-319-08).</w:t>
            </w:r>
            <w:bookmarkStart w:id="1" w:name="_Hlk111021336"/>
            <w:r w:rsidRPr="00256143">
              <w:rPr>
                <w:rFonts w:ascii="Arial" w:hAnsi="Arial" w:cs="Arial"/>
                <w:lang w:val="lv-LV"/>
              </w:rPr>
              <w:t xml:space="preserve"> </w:t>
            </w:r>
            <w:bookmarkEnd w:id="1"/>
          </w:p>
        </w:tc>
      </w:tr>
      <w:tr w:rsidR="00311B4F" w:rsidRPr="00B54FF6" w14:paraId="1757C7EE"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142B97A0" w14:textId="6746C54E"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Kāda signalizācija jānodrošina uz brīdinājuma signāliem?</w:t>
            </w:r>
          </w:p>
        </w:tc>
        <w:tc>
          <w:tcPr>
            <w:tcW w:w="3969" w:type="dxa"/>
            <w:tcBorders>
              <w:left w:val="single" w:sz="4" w:space="0" w:color="auto"/>
              <w:right w:val="single" w:sz="4" w:space="0" w:color="auto"/>
            </w:tcBorders>
          </w:tcPr>
          <w:p w14:paraId="67648BE5" w14:textId="49C758EF" w:rsidR="00311B4F" w:rsidRPr="00256143" w:rsidRDefault="00311B4F" w:rsidP="00311B4F">
            <w:pPr>
              <w:rPr>
                <w:rFonts w:ascii="Arial" w:hAnsi="Arial" w:cs="Arial"/>
                <w:lang w:val="lv-LV"/>
              </w:rPr>
            </w:pPr>
            <w:r w:rsidRPr="00256143">
              <w:rPr>
                <w:rFonts w:ascii="Arial" w:hAnsi="Arial" w:cs="Arial"/>
                <w:lang w:val="lv-LV"/>
              </w:rPr>
              <w:t xml:space="preserve">2.Jāpāredz sekojoša brīdinājuma luksofora konfigurācija – </w:t>
            </w:r>
            <w:proofErr w:type="spellStart"/>
            <w:r w:rsidRPr="00256143">
              <w:rPr>
                <w:rFonts w:ascii="Arial" w:hAnsi="Arial" w:cs="Arial"/>
                <w:lang w:val="lv-LV"/>
              </w:rPr>
              <w:t>divzīmju</w:t>
            </w:r>
            <w:proofErr w:type="spellEnd"/>
            <w:r w:rsidRPr="00256143">
              <w:rPr>
                <w:rFonts w:ascii="Arial" w:hAnsi="Arial" w:cs="Arial"/>
                <w:lang w:val="lv-LV"/>
              </w:rPr>
              <w:t>, masta luksofors, ar signālu rādījumiem: viena zaļa uguns, viena dzeltena uguns vai viena dzeltena mirgojoša uguns.</w:t>
            </w:r>
          </w:p>
        </w:tc>
      </w:tr>
      <w:tr w:rsidR="00311B4F" w:rsidRPr="00B54FF6" w14:paraId="4B34863B"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7042CEA8" w14:textId="389990EC"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Vai ir jāmaina signalizācija uz Glūdas stacijas izejas luksoforiem; Biksti? </w:t>
            </w:r>
          </w:p>
        </w:tc>
        <w:tc>
          <w:tcPr>
            <w:tcW w:w="3969" w:type="dxa"/>
            <w:tcBorders>
              <w:left w:val="single" w:sz="4" w:space="0" w:color="auto"/>
              <w:right w:val="single" w:sz="4" w:space="0" w:color="auto"/>
            </w:tcBorders>
          </w:tcPr>
          <w:p w14:paraId="4DFF0375" w14:textId="7FABAB20" w:rsidR="00311B4F" w:rsidRPr="00256143" w:rsidRDefault="00311B4F" w:rsidP="00311B4F">
            <w:pPr>
              <w:rPr>
                <w:rFonts w:ascii="Arial" w:hAnsi="Arial" w:cs="Arial"/>
                <w:lang w:val="lv-LV"/>
              </w:rPr>
            </w:pPr>
            <w:r w:rsidRPr="00256143">
              <w:rPr>
                <w:rFonts w:ascii="Arial" w:hAnsi="Arial" w:cs="Arial"/>
                <w:lang w:val="lv-LV"/>
              </w:rPr>
              <w:t>3.Informējam, ka projekta ietvaros signalizācijas maiņa uz Glūdas un Bikstu staciju izejas luksoforiem nav paredzēta.</w:t>
            </w:r>
          </w:p>
        </w:tc>
      </w:tr>
      <w:tr w:rsidR="00311B4F" w:rsidRPr="00B54FF6" w14:paraId="1FBD4863"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24ABA282" w14:textId="317B4CF8"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Vai ir nepieciešams aprīkot nosūtīšanas maršrutus ar kodēšanu no st. Glūda stacijas Dobele virzienā; no st. Biksti st. Dobele virzienā?</w:t>
            </w:r>
          </w:p>
        </w:tc>
        <w:tc>
          <w:tcPr>
            <w:tcW w:w="3969" w:type="dxa"/>
            <w:tcBorders>
              <w:left w:val="single" w:sz="4" w:space="0" w:color="auto"/>
              <w:right w:val="single" w:sz="4" w:space="0" w:color="auto"/>
            </w:tcBorders>
          </w:tcPr>
          <w:p w14:paraId="6786216D" w14:textId="77D0F6D0" w:rsidR="00311B4F" w:rsidRPr="00256143" w:rsidRDefault="00311B4F" w:rsidP="00311B4F">
            <w:pPr>
              <w:rPr>
                <w:rFonts w:ascii="Arial" w:hAnsi="Arial" w:cs="Arial"/>
                <w:lang w:val="lv-LV"/>
              </w:rPr>
            </w:pPr>
            <w:r w:rsidRPr="00256143">
              <w:rPr>
                <w:rFonts w:ascii="Arial" w:hAnsi="Arial" w:cs="Arial"/>
                <w:lang w:val="lv-LV"/>
              </w:rPr>
              <w:t>4. Informējam, ka projekta ietvaros netiek paredzēta nosūtīšanas maršrutu kodēšana no Glūdas un Bikstu stacijām Dobeles stacijas virzienā .</w:t>
            </w:r>
          </w:p>
        </w:tc>
      </w:tr>
      <w:tr w:rsidR="00311B4F" w:rsidRPr="00B54FF6" w14:paraId="7354DC26"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07374108" w14:textId="1A73BD89"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Vai ir nepieciešams aprīkot tuvošanas iecirkņus ar kodēšanu Glūda un Biksti stacijas no Dobele virzienā?</w:t>
            </w:r>
          </w:p>
        </w:tc>
        <w:tc>
          <w:tcPr>
            <w:tcW w:w="3969" w:type="dxa"/>
            <w:tcBorders>
              <w:left w:val="single" w:sz="4" w:space="0" w:color="auto"/>
              <w:right w:val="single" w:sz="4" w:space="0" w:color="auto"/>
            </w:tcBorders>
          </w:tcPr>
          <w:p w14:paraId="6DC68122" w14:textId="26998412" w:rsidR="00311B4F" w:rsidRPr="00256143" w:rsidRDefault="00311B4F" w:rsidP="00311B4F">
            <w:pPr>
              <w:rPr>
                <w:rFonts w:ascii="Arial" w:hAnsi="Arial" w:cs="Arial"/>
                <w:lang w:val="lv-LV"/>
              </w:rPr>
            </w:pPr>
            <w:r w:rsidRPr="00256143">
              <w:rPr>
                <w:rFonts w:ascii="Arial" w:hAnsi="Arial" w:cs="Arial"/>
                <w:lang w:val="lv-LV"/>
              </w:rPr>
              <w:t>5. Informējam, ka projekta ietvaros netiek paredzēta Glūdas un Bikstu staciju tuvošanas iecirkņu aprīkošana ar kodēšanu.</w:t>
            </w:r>
          </w:p>
        </w:tc>
      </w:tr>
      <w:tr w:rsidR="00311B4F" w:rsidRPr="00B54FF6" w14:paraId="707F3625"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48602961" w14:textId="2D9B0E78"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Vai Glūdas un Bikstu staciju izmaiņas ir jāveic esošajās staciju shēmās, vai ir nepieciešams izveidot shēmas no jauna, iekļaujot izmaiņas?</w:t>
            </w:r>
          </w:p>
        </w:tc>
        <w:tc>
          <w:tcPr>
            <w:tcW w:w="3969" w:type="dxa"/>
            <w:tcBorders>
              <w:left w:val="single" w:sz="4" w:space="0" w:color="auto"/>
              <w:right w:val="single" w:sz="4" w:space="0" w:color="auto"/>
            </w:tcBorders>
          </w:tcPr>
          <w:p w14:paraId="2C205C3C" w14:textId="6A6C7FC7" w:rsidR="00311B4F" w:rsidRPr="00256143" w:rsidRDefault="00311B4F" w:rsidP="00311B4F">
            <w:pPr>
              <w:rPr>
                <w:rFonts w:ascii="Arial" w:hAnsi="Arial" w:cs="Arial"/>
                <w:lang w:val="lv-LV"/>
              </w:rPr>
            </w:pPr>
            <w:r w:rsidRPr="00256143">
              <w:rPr>
                <w:rFonts w:ascii="Arial" w:hAnsi="Arial" w:cs="Arial"/>
                <w:lang w:val="lv-LV"/>
              </w:rPr>
              <w:t>6.Projektā ietvaros Glūdas un Bikstu staciju skartā tehniskā dokumentācija jāatjauno (jāizstrādā no jauna), iekļaujot tajā visas izmaiņas.</w:t>
            </w:r>
          </w:p>
        </w:tc>
      </w:tr>
      <w:tr w:rsidR="00311B4F" w:rsidRPr="00B54FF6" w14:paraId="22747884"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6515E7AE" w14:textId="6A77CFD7"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Vai ir nepieciešams veikt vilces aprēķinu, lai noteiktu brīdinājuma luksoforu atrašanās vietu?</w:t>
            </w:r>
          </w:p>
        </w:tc>
        <w:tc>
          <w:tcPr>
            <w:tcW w:w="3969" w:type="dxa"/>
            <w:tcBorders>
              <w:left w:val="single" w:sz="4" w:space="0" w:color="auto"/>
              <w:right w:val="single" w:sz="4" w:space="0" w:color="auto"/>
            </w:tcBorders>
          </w:tcPr>
          <w:p w14:paraId="1465DA4D" w14:textId="5F6EDBF1" w:rsidR="00311B4F" w:rsidRPr="00256143" w:rsidRDefault="00311B4F" w:rsidP="00311B4F">
            <w:pPr>
              <w:rPr>
                <w:rFonts w:ascii="Arial" w:hAnsi="Arial" w:cs="Arial"/>
                <w:lang w:val="lv-LV"/>
              </w:rPr>
            </w:pPr>
            <w:r w:rsidRPr="00256143">
              <w:rPr>
                <w:rFonts w:ascii="Arial" w:hAnsi="Arial" w:cs="Arial"/>
                <w:lang w:val="lv-LV"/>
              </w:rPr>
              <w:t>7. Jā, nepieciešams veikt vilces aprēķinu, lai noteiktu brīdinājuma luksoforu atrašanās vietu un kodējamo tuvošanas iecirkņu garumu.</w:t>
            </w:r>
          </w:p>
        </w:tc>
      </w:tr>
      <w:tr w:rsidR="00311B4F" w:rsidRPr="00B54FF6" w14:paraId="31534578"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231B509A" w14:textId="08EAF014"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Vai ir jāveic vēstījuma uz pārbrauktuvi pārrēķins?</w:t>
            </w:r>
          </w:p>
        </w:tc>
        <w:tc>
          <w:tcPr>
            <w:tcW w:w="3969" w:type="dxa"/>
            <w:tcBorders>
              <w:left w:val="single" w:sz="4" w:space="0" w:color="auto"/>
              <w:right w:val="single" w:sz="4" w:space="0" w:color="auto"/>
            </w:tcBorders>
          </w:tcPr>
          <w:p w14:paraId="69EFD88B" w14:textId="3AF8A6E9" w:rsidR="00311B4F" w:rsidRPr="00256143" w:rsidRDefault="00311B4F" w:rsidP="00311B4F">
            <w:pPr>
              <w:rPr>
                <w:rFonts w:ascii="Arial" w:hAnsi="Arial" w:cs="Arial"/>
                <w:lang w:val="lv-LV"/>
              </w:rPr>
            </w:pPr>
            <w:r w:rsidRPr="00256143">
              <w:rPr>
                <w:rFonts w:ascii="Arial" w:hAnsi="Arial" w:cs="Arial"/>
                <w:lang w:val="lv-LV"/>
              </w:rPr>
              <w:t>8.Jā, projekta ietvaros ir jāveic pilnīgs 71,836.km pārbrauktuves pārrēķins (t.sk. tuvošanas iecirkņu garumu un vēstījuma padošanas laika pārrēķins).</w:t>
            </w:r>
          </w:p>
        </w:tc>
      </w:tr>
      <w:tr w:rsidR="00311B4F" w:rsidRPr="00B54FF6" w14:paraId="05D1DBCC"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56AA895A" w14:textId="0B364C28"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Vai VAS “Latvijas dzelzceļš” var izsniegt </w:t>
            </w:r>
            <w:proofErr w:type="spellStart"/>
            <w:r w:rsidRPr="00256143">
              <w:rPr>
                <w:rFonts w:ascii="Arial" w:eastAsia="Times New Roman" w:hAnsi="Arial" w:cs="Arial"/>
                <w:sz w:val="20"/>
                <w:szCs w:val="20"/>
              </w:rPr>
              <w:t>sketčprojekta</w:t>
            </w:r>
            <w:proofErr w:type="spellEnd"/>
            <w:r w:rsidRPr="00256143">
              <w:rPr>
                <w:rFonts w:ascii="Arial" w:eastAsia="Times New Roman" w:hAnsi="Arial" w:cs="Arial"/>
                <w:sz w:val="20"/>
                <w:szCs w:val="20"/>
              </w:rPr>
              <w:t xml:space="preserve"> stacijas shematisko plānu, uz kura pamata var aprēķināt luksoforu skaitu un veidus?</w:t>
            </w:r>
          </w:p>
        </w:tc>
        <w:tc>
          <w:tcPr>
            <w:tcW w:w="3969" w:type="dxa"/>
            <w:tcBorders>
              <w:left w:val="single" w:sz="4" w:space="0" w:color="auto"/>
              <w:right w:val="single" w:sz="4" w:space="0" w:color="auto"/>
            </w:tcBorders>
          </w:tcPr>
          <w:p w14:paraId="676416F6" w14:textId="702803DF" w:rsidR="00311B4F" w:rsidRPr="00256143" w:rsidRDefault="00311B4F" w:rsidP="00311B4F">
            <w:pPr>
              <w:rPr>
                <w:rFonts w:ascii="Arial" w:hAnsi="Arial" w:cs="Arial"/>
                <w:lang w:val="lv-LV"/>
              </w:rPr>
            </w:pPr>
            <w:r w:rsidRPr="00256143">
              <w:rPr>
                <w:rFonts w:ascii="Arial" w:hAnsi="Arial" w:cs="Arial"/>
                <w:lang w:val="lv-LV"/>
              </w:rPr>
              <w:t>9.Luksoforu skaits un veidi jānoteic un jāsaskaņo ar Pasūtītāju projektēšanas laikā. Pēc atsevišķa pieprasījuma tiek izsniegts tikai spēkā esošais shematiskais plāns.</w:t>
            </w:r>
          </w:p>
        </w:tc>
      </w:tr>
      <w:tr w:rsidR="00311B4F" w:rsidRPr="00B54FF6" w14:paraId="098BC44F"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6BB4659F" w14:textId="21AFAB62"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Vai piedāvājamai centralizācijas sistēmai ir pilnībā jāatbilst uzskaitītajām 2.pielikumā VAS „Latvijas dzelzceļš” sarunu procedūras ar publikāciju „Dobeles stacijas centralizācijas sistēmas modernizācija” nolikuma prasībām vai </w:t>
            </w:r>
            <w:r w:rsidRPr="00256143">
              <w:rPr>
                <w:rFonts w:ascii="Arial" w:eastAsia="Times New Roman" w:hAnsi="Arial" w:cs="Arial"/>
                <w:sz w:val="20"/>
                <w:szCs w:val="20"/>
              </w:rPr>
              <w:lastRenderedPageBreak/>
              <w:t>ir pieļaujamas novirzes, kas tiks uzskaitītas tehniskajā piedāvājumā?</w:t>
            </w:r>
          </w:p>
        </w:tc>
        <w:tc>
          <w:tcPr>
            <w:tcW w:w="3969" w:type="dxa"/>
            <w:tcBorders>
              <w:left w:val="single" w:sz="4" w:space="0" w:color="auto"/>
              <w:right w:val="single" w:sz="4" w:space="0" w:color="auto"/>
            </w:tcBorders>
          </w:tcPr>
          <w:p w14:paraId="02AB87F7" w14:textId="4A2969F0" w:rsidR="00311B4F" w:rsidRPr="00256143" w:rsidRDefault="00311B4F" w:rsidP="00311B4F">
            <w:pPr>
              <w:rPr>
                <w:rFonts w:ascii="Arial" w:hAnsi="Arial" w:cs="Arial"/>
                <w:lang w:val="lv-LV"/>
              </w:rPr>
            </w:pPr>
            <w:r w:rsidRPr="00256143">
              <w:rPr>
                <w:rFonts w:ascii="Arial" w:hAnsi="Arial" w:cs="Arial"/>
                <w:lang w:val="lv-LV"/>
              </w:rPr>
              <w:lastRenderedPageBreak/>
              <w:t xml:space="preserve">10.Piedāvājamai centralizācijas sistēmai ir pilnībā jāatbilst Nolikuma 2.pielikumā uzskaitītajām drošības, drošuma un funkcionalitātes prasībām. Jebkuras novirzes no prasībām, kuras attiecas uz </w:t>
            </w:r>
            <w:r w:rsidRPr="00256143">
              <w:rPr>
                <w:rFonts w:ascii="Arial" w:hAnsi="Arial" w:cs="Arial"/>
                <w:lang w:val="lv-LV"/>
              </w:rPr>
              <w:lastRenderedPageBreak/>
              <w:t xml:space="preserve">centralizācijas sistēmas apakšsistēmām un lauka iekārtām tiks novērtētas tehniskā piedāvājuma izskatīšanas laikā. </w:t>
            </w:r>
          </w:p>
        </w:tc>
      </w:tr>
      <w:tr w:rsidR="00EA7A87" w:rsidRPr="00B54FF6" w14:paraId="35048871"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7BCF3656" w14:textId="298A6FB2" w:rsidR="00EA7A87" w:rsidRPr="00256143" w:rsidRDefault="00EA7A87" w:rsidP="003351AE">
            <w:pPr>
              <w:pStyle w:val="ListParagraph"/>
              <w:numPr>
                <w:ilvl w:val="0"/>
                <w:numId w:val="16"/>
              </w:numPr>
              <w:ind w:left="0" w:firstLine="0"/>
              <w:jc w:val="left"/>
              <w:rPr>
                <w:rFonts w:ascii="Arial" w:hAnsi="Arial" w:cs="Arial"/>
                <w:sz w:val="20"/>
                <w:szCs w:val="20"/>
                <w:lang w:val="lv-LV"/>
              </w:rPr>
            </w:pPr>
            <w:r w:rsidRPr="00256143">
              <w:rPr>
                <w:rFonts w:ascii="Arial" w:hAnsi="Arial" w:cs="Arial"/>
                <w:color w:val="202124"/>
                <w:sz w:val="20"/>
                <w:szCs w:val="20"/>
                <w:lang w:val="lv-LV" w:eastAsia="lv-LV"/>
              </w:rPr>
              <w:lastRenderedPageBreak/>
              <w:t>Attiecībā uz kvalifikācijas prasību 4.1.- tiek pieņemts arī Eiropas Savienības valstī reģistrēta uzņēmuma piedāvājums?</w:t>
            </w:r>
            <w:r w:rsidRPr="00256143">
              <w:rPr>
                <w:rFonts w:ascii="Arial" w:hAnsi="Arial" w:cs="Arial"/>
                <w:sz w:val="20"/>
                <w:szCs w:val="20"/>
                <w:lang w:val="lv-LV"/>
              </w:rPr>
              <w:t xml:space="preserve"> </w:t>
            </w:r>
            <w:proofErr w:type="spellStart"/>
            <w:r w:rsidRPr="00256143">
              <w:rPr>
                <w:rFonts w:ascii="Arial" w:hAnsi="Arial" w:cs="Arial"/>
                <w:sz w:val="20"/>
                <w:szCs w:val="20"/>
                <w:lang w:val="lv-LV"/>
              </w:rPr>
              <w:t>Regarding</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qualification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requirement</w:t>
            </w:r>
            <w:proofErr w:type="spellEnd"/>
            <w:r w:rsidRPr="00256143">
              <w:rPr>
                <w:rFonts w:ascii="Arial" w:hAnsi="Arial" w:cs="Arial"/>
                <w:sz w:val="20"/>
                <w:szCs w:val="20"/>
                <w:lang w:val="lv-LV"/>
              </w:rPr>
              <w:t xml:space="preserve"> 4.1.- </w:t>
            </w:r>
            <w:proofErr w:type="spellStart"/>
            <w:r w:rsidRPr="00256143">
              <w:rPr>
                <w:rFonts w:ascii="Arial" w:hAnsi="Arial" w:cs="Arial"/>
                <w:sz w:val="20"/>
                <w:szCs w:val="20"/>
                <w:lang w:val="lv-LV"/>
              </w:rPr>
              <w:t>is</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also</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accepted</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the</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offer</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from</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the</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company</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registered</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in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European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Union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country</w:t>
            </w:r>
            <w:proofErr w:type="spellEnd"/>
            <w:r w:rsidRPr="00256143">
              <w:rPr>
                <w:rFonts w:ascii="Arial" w:hAnsi="Arial" w:cs="Arial"/>
                <w:sz w:val="20"/>
                <w:szCs w:val="20"/>
                <w:lang w:val="lv-LV"/>
              </w:rPr>
              <w:t>?</w:t>
            </w:r>
          </w:p>
          <w:p w14:paraId="78C2C722" w14:textId="77777777" w:rsidR="00EA7A87" w:rsidRPr="00256143" w:rsidRDefault="00EA7A87" w:rsidP="003351AE">
            <w:pPr>
              <w:jc w:val="left"/>
              <w:rPr>
                <w:rFonts w:ascii="Arial" w:hAnsi="Arial" w:cs="Arial"/>
                <w:lang w:val="lv-LV"/>
              </w:rPr>
            </w:pPr>
          </w:p>
        </w:tc>
        <w:tc>
          <w:tcPr>
            <w:tcW w:w="3969" w:type="dxa"/>
            <w:tcBorders>
              <w:left w:val="single" w:sz="4" w:space="0" w:color="auto"/>
              <w:right w:val="single" w:sz="4" w:space="0" w:color="auto"/>
            </w:tcBorders>
          </w:tcPr>
          <w:p w14:paraId="635E558A" w14:textId="5FBDA6DE" w:rsidR="00EA7A87" w:rsidRPr="00256143" w:rsidRDefault="00311B4F" w:rsidP="00CC7E74">
            <w:pPr>
              <w:rPr>
                <w:rFonts w:ascii="Arial" w:hAnsi="Arial" w:cs="Arial"/>
                <w:lang w:val="lv-LV"/>
              </w:rPr>
            </w:pPr>
            <w:r w:rsidRPr="00256143">
              <w:rPr>
                <w:rFonts w:ascii="Arial" w:hAnsi="Arial" w:cs="Arial"/>
                <w:color w:val="202124"/>
                <w:lang w:val="lv-LV"/>
              </w:rPr>
              <w:t>11.Eiropas Savienības valstī reģistrēta uzņēmuma piedāvājums</w:t>
            </w:r>
            <w:r w:rsidRPr="00256143">
              <w:rPr>
                <w:rFonts w:ascii="Arial" w:hAnsi="Arial" w:cs="Arial"/>
                <w:lang w:val="lv-LV"/>
              </w:rPr>
              <w:t xml:space="preserve"> tiks pieņemts pie nosacījuma, ka tam ir spēkā esoša LR dzelzceļa drošības apliecība.</w:t>
            </w:r>
          </w:p>
        </w:tc>
      </w:tr>
      <w:tr w:rsidR="00EA7A87" w:rsidRPr="00B54FF6" w14:paraId="3FE93421"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141ACFC4" w14:textId="2A71438F" w:rsidR="00EA7A87" w:rsidRPr="00256143" w:rsidRDefault="00EA7A87" w:rsidP="003351AE">
            <w:pPr>
              <w:pStyle w:val="ListParagraph"/>
              <w:numPr>
                <w:ilvl w:val="0"/>
                <w:numId w:val="16"/>
              </w:numPr>
              <w:ind w:left="0" w:firstLine="0"/>
              <w:jc w:val="left"/>
              <w:rPr>
                <w:rFonts w:ascii="Arial" w:hAnsi="Arial" w:cs="Arial"/>
                <w:sz w:val="20"/>
                <w:szCs w:val="20"/>
                <w:lang w:val="lv-LV"/>
              </w:rPr>
            </w:pPr>
            <w:r w:rsidRPr="00256143">
              <w:rPr>
                <w:rFonts w:ascii="Arial" w:hAnsi="Arial" w:cs="Arial"/>
                <w:color w:val="202124"/>
                <w:sz w:val="20"/>
                <w:szCs w:val="20"/>
                <w:lang w:val="lv-LV"/>
              </w:rPr>
              <w:t>Attiecībā uz kvalifikācijas prasību 4.12.- vai piedāvājums tiek pieņemts arī no uzņēmuma ar tādu pašu reģistrāciju citu Eiropas Savienības valstu reģistrā?</w:t>
            </w:r>
            <w:r w:rsidRPr="00256143">
              <w:rPr>
                <w:rFonts w:ascii="Arial" w:hAnsi="Arial" w:cs="Arial"/>
                <w:sz w:val="20"/>
                <w:szCs w:val="20"/>
                <w:lang w:val="lv-LV"/>
              </w:rPr>
              <w:t xml:space="preserve"> </w:t>
            </w:r>
            <w:proofErr w:type="spellStart"/>
            <w:r w:rsidRPr="00256143">
              <w:rPr>
                <w:rFonts w:ascii="Arial" w:hAnsi="Arial" w:cs="Arial"/>
                <w:sz w:val="20"/>
                <w:szCs w:val="20"/>
                <w:lang w:val="lv-LV"/>
              </w:rPr>
              <w:t>Regarding</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qualification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requirement</w:t>
            </w:r>
            <w:proofErr w:type="spellEnd"/>
            <w:r w:rsidRPr="00256143">
              <w:rPr>
                <w:rFonts w:ascii="Arial" w:hAnsi="Arial" w:cs="Arial"/>
                <w:sz w:val="20"/>
                <w:szCs w:val="20"/>
                <w:lang w:val="lv-LV"/>
              </w:rPr>
              <w:t xml:space="preserve"> 4.12.- </w:t>
            </w:r>
            <w:proofErr w:type="spellStart"/>
            <w:r w:rsidRPr="00256143">
              <w:rPr>
                <w:rFonts w:ascii="Arial" w:hAnsi="Arial" w:cs="Arial"/>
                <w:sz w:val="20"/>
                <w:szCs w:val="20"/>
                <w:lang w:val="lv-LV"/>
              </w:rPr>
              <w:t>is</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also</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accepted</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the</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offer</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from</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the</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company</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having</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the</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same</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registration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in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other</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European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Union</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country</w:t>
            </w:r>
            <w:proofErr w:type="spellEnd"/>
            <w:r w:rsidRPr="00256143">
              <w:rPr>
                <w:rFonts w:ascii="Arial" w:hAnsi="Arial" w:cs="Arial"/>
                <w:sz w:val="20"/>
                <w:szCs w:val="20"/>
                <w:lang w:val="lv-LV"/>
              </w:rPr>
              <w:t xml:space="preserve"> </w:t>
            </w:r>
            <w:proofErr w:type="spellStart"/>
            <w:r w:rsidRPr="00256143">
              <w:rPr>
                <w:rFonts w:ascii="Arial" w:hAnsi="Arial" w:cs="Arial"/>
                <w:sz w:val="20"/>
                <w:szCs w:val="20"/>
                <w:lang w:val="lv-LV"/>
              </w:rPr>
              <w:t>registry</w:t>
            </w:r>
            <w:proofErr w:type="spellEnd"/>
            <w:r w:rsidRPr="00256143">
              <w:rPr>
                <w:rFonts w:ascii="Arial" w:hAnsi="Arial" w:cs="Arial"/>
                <w:sz w:val="20"/>
                <w:szCs w:val="20"/>
                <w:lang w:val="lv-LV"/>
              </w:rPr>
              <w:t>?</w:t>
            </w:r>
          </w:p>
        </w:tc>
        <w:tc>
          <w:tcPr>
            <w:tcW w:w="3969" w:type="dxa"/>
            <w:tcBorders>
              <w:left w:val="single" w:sz="4" w:space="0" w:color="auto"/>
              <w:right w:val="single" w:sz="4" w:space="0" w:color="auto"/>
            </w:tcBorders>
          </w:tcPr>
          <w:p w14:paraId="63A1593C" w14:textId="2063807B" w:rsidR="00EA7A87" w:rsidRPr="00256143" w:rsidRDefault="00311B4F" w:rsidP="00CC7E74">
            <w:pPr>
              <w:rPr>
                <w:rFonts w:ascii="Arial" w:hAnsi="Arial" w:cs="Arial"/>
                <w:lang w:val="lv-LV"/>
              </w:rPr>
            </w:pPr>
            <w:r w:rsidRPr="00256143">
              <w:rPr>
                <w:rFonts w:ascii="Arial" w:hAnsi="Arial" w:cs="Arial"/>
                <w:lang w:val="lv-LV"/>
              </w:rPr>
              <w:t>12.</w:t>
            </w:r>
            <w:r w:rsidR="003351AE" w:rsidRPr="00256143">
              <w:rPr>
                <w:rFonts w:ascii="Arial" w:hAnsi="Arial" w:cs="Arial"/>
                <w:lang w:val="lv-LV"/>
              </w:rPr>
              <w:t>Atbildi skatīt Skaidrojums Nr.1 komisijas 14.atbildē.</w:t>
            </w:r>
          </w:p>
        </w:tc>
      </w:tr>
      <w:tr w:rsidR="00EA7A87" w:rsidRPr="00256143" w14:paraId="0C79FFE4"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59948286" w14:textId="046A8982" w:rsidR="00EA7A87" w:rsidRPr="00256143" w:rsidRDefault="00EA7A87" w:rsidP="003351AE">
            <w:pPr>
              <w:pStyle w:val="ListParagraph"/>
              <w:numPr>
                <w:ilvl w:val="0"/>
                <w:numId w:val="16"/>
              </w:numPr>
              <w:shd w:val="clear" w:color="auto" w:fill="F8F9FA"/>
              <w:ind w:left="0" w:firstLine="0"/>
              <w:jc w:val="left"/>
              <w:rPr>
                <w:rFonts w:ascii="Arial" w:hAnsi="Arial" w:cs="Arial"/>
                <w:color w:val="202124"/>
                <w:sz w:val="20"/>
                <w:szCs w:val="20"/>
                <w:lang w:val="lv-LV"/>
              </w:rPr>
            </w:pPr>
            <w:r w:rsidRPr="00256143">
              <w:rPr>
                <w:rFonts w:ascii="Arial" w:hAnsi="Arial" w:cs="Arial"/>
                <w:color w:val="202124"/>
                <w:sz w:val="20"/>
                <w:szCs w:val="20"/>
                <w:lang w:val="lv-LV"/>
              </w:rPr>
              <w:t>Vai ir plānots apmeklēt oficiālu vietu? Ja jā, tad kad?</w:t>
            </w:r>
          </w:p>
          <w:p w14:paraId="31602932" w14:textId="77777777" w:rsidR="00EA7A87" w:rsidRPr="00256143" w:rsidRDefault="00EA7A87" w:rsidP="003351AE">
            <w:pPr>
              <w:jc w:val="left"/>
              <w:rPr>
                <w:rFonts w:ascii="Arial" w:hAnsi="Arial" w:cs="Arial"/>
                <w:lang w:val="lv-LV" w:eastAsia="en-US"/>
              </w:rPr>
            </w:pPr>
            <w:proofErr w:type="spellStart"/>
            <w:r w:rsidRPr="00256143">
              <w:rPr>
                <w:rFonts w:ascii="Arial" w:hAnsi="Arial" w:cs="Arial"/>
                <w:lang w:val="lv-LV"/>
              </w:rPr>
              <w:t>Is</w:t>
            </w:r>
            <w:proofErr w:type="spellEnd"/>
            <w:r w:rsidRPr="00256143">
              <w:rPr>
                <w:rFonts w:ascii="Arial" w:hAnsi="Arial" w:cs="Arial"/>
                <w:lang w:val="lv-LV"/>
              </w:rPr>
              <w:t xml:space="preserve"> </w:t>
            </w:r>
            <w:proofErr w:type="spellStart"/>
            <w:r w:rsidRPr="00256143">
              <w:rPr>
                <w:rFonts w:ascii="Arial" w:hAnsi="Arial" w:cs="Arial"/>
                <w:lang w:val="lv-LV"/>
              </w:rPr>
              <w:t>there</w:t>
            </w:r>
            <w:proofErr w:type="spellEnd"/>
            <w:r w:rsidRPr="00256143">
              <w:rPr>
                <w:rFonts w:ascii="Arial" w:hAnsi="Arial" w:cs="Arial"/>
                <w:lang w:val="lv-LV"/>
              </w:rPr>
              <w:t xml:space="preserve"> </w:t>
            </w:r>
            <w:proofErr w:type="spellStart"/>
            <w:r w:rsidRPr="00256143">
              <w:rPr>
                <w:rFonts w:ascii="Arial" w:hAnsi="Arial" w:cs="Arial"/>
                <w:lang w:val="lv-LV"/>
              </w:rPr>
              <w:t>planned</w:t>
            </w:r>
            <w:proofErr w:type="spellEnd"/>
            <w:r w:rsidRPr="00256143">
              <w:rPr>
                <w:rFonts w:ascii="Arial" w:hAnsi="Arial" w:cs="Arial"/>
                <w:lang w:val="lv-LV"/>
              </w:rPr>
              <w:t xml:space="preserve"> </w:t>
            </w:r>
            <w:proofErr w:type="spellStart"/>
            <w:r w:rsidRPr="00256143">
              <w:rPr>
                <w:rFonts w:ascii="Arial" w:hAnsi="Arial" w:cs="Arial"/>
                <w:lang w:val="lv-LV"/>
              </w:rPr>
              <w:t>an</w:t>
            </w:r>
            <w:proofErr w:type="spellEnd"/>
            <w:r w:rsidRPr="00256143">
              <w:rPr>
                <w:rFonts w:ascii="Arial" w:hAnsi="Arial" w:cs="Arial"/>
                <w:lang w:val="lv-LV"/>
              </w:rPr>
              <w:t xml:space="preserve"> </w:t>
            </w:r>
            <w:proofErr w:type="spellStart"/>
            <w:r w:rsidRPr="00256143">
              <w:rPr>
                <w:rFonts w:ascii="Arial" w:hAnsi="Arial" w:cs="Arial"/>
                <w:lang w:val="lv-LV"/>
              </w:rPr>
              <w:t>official</w:t>
            </w:r>
            <w:proofErr w:type="spellEnd"/>
            <w:r w:rsidRPr="00256143">
              <w:rPr>
                <w:rFonts w:ascii="Arial" w:hAnsi="Arial" w:cs="Arial"/>
                <w:lang w:val="lv-LV"/>
              </w:rPr>
              <w:t xml:space="preserve"> </w:t>
            </w:r>
            <w:proofErr w:type="spellStart"/>
            <w:r w:rsidRPr="00256143">
              <w:rPr>
                <w:rFonts w:ascii="Arial" w:hAnsi="Arial" w:cs="Arial"/>
                <w:lang w:val="lv-LV"/>
              </w:rPr>
              <w:t>site</w:t>
            </w:r>
            <w:proofErr w:type="spellEnd"/>
            <w:r w:rsidRPr="00256143">
              <w:rPr>
                <w:rFonts w:ascii="Arial" w:hAnsi="Arial" w:cs="Arial"/>
                <w:lang w:val="lv-LV"/>
              </w:rPr>
              <w:t xml:space="preserve"> </w:t>
            </w:r>
            <w:proofErr w:type="spellStart"/>
            <w:r w:rsidRPr="00256143">
              <w:rPr>
                <w:rFonts w:ascii="Arial" w:hAnsi="Arial" w:cs="Arial"/>
                <w:lang w:val="lv-LV"/>
              </w:rPr>
              <w:t>visit</w:t>
            </w:r>
            <w:proofErr w:type="spellEnd"/>
            <w:r w:rsidRPr="00256143">
              <w:rPr>
                <w:rFonts w:ascii="Arial" w:hAnsi="Arial" w:cs="Arial"/>
                <w:lang w:val="lv-LV"/>
              </w:rPr>
              <w:t xml:space="preserve">? </w:t>
            </w:r>
            <w:proofErr w:type="spellStart"/>
            <w:r w:rsidRPr="00256143">
              <w:rPr>
                <w:rFonts w:ascii="Arial" w:hAnsi="Arial" w:cs="Arial"/>
                <w:lang w:val="lv-LV"/>
              </w:rPr>
              <w:t>If</w:t>
            </w:r>
            <w:proofErr w:type="spellEnd"/>
            <w:r w:rsidRPr="00256143">
              <w:rPr>
                <w:rFonts w:ascii="Arial" w:hAnsi="Arial" w:cs="Arial"/>
                <w:lang w:val="lv-LV"/>
              </w:rPr>
              <w:t xml:space="preserve"> </w:t>
            </w:r>
            <w:proofErr w:type="spellStart"/>
            <w:r w:rsidRPr="00256143">
              <w:rPr>
                <w:rFonts w:ascii="Arial" w:hAnsi="Arial" w:cs="Arial"/>
                <w:lang w:val="lv-LV"/>
              </w:rPr>
              <w:t>yes</w:t>
            </w:r>
            <w:proofErr w:type="spellEnd"/>
            <w:r w:rsidRPr="00256143">
              <w:rPr>
                <w:rFonts w:ascii="Arial" w:hAnsi="Arial" w:cs="Arial"/>
                <w:lang w:val="lv-LV"/>
              </w:rPr>
              <w:t xml:space="preserve">, </w:t>
            </w:r>
            <w:proofErr w:type="spellStart"/>
            <w:r w:rsidRPr="00256143">
              <w:rPr>
                <w:rFonts w:ascii="Arial" w:hAnsi="Arial" w:cs="Arial"/>
                <w:lang w:val="lv-LV"/>
              </w:rPr>
              <w:t>then</w:t>
            </w:r>
            <w:proofErr w:type="spellEnd"/>
            <w:r w:rsidRPr="00256143">
              <w:rPr>
                <w:rFonts w:ascii="Arial" w:hAnsi="Arial" w:cs="Arial"/>
                <w:lang w:val="lv-LV"/>
              </w:rPr>
              <w:t xml:space="preserve"> </w:t>
            </w:r>
            <w:proofErr w:type="spellStart"/>
            <w:r w:rsidRPr="00256143">
              <w:rPr>
                <w:rFonts w:ascii="Arial" w:hAnsi="Arial" w:cs="Arial"/>
                <w:lang w:val="lv-LV"/>
              </w:rPr>
              <w:t>when</w:t>
            </w:r>
            <w:proofErr w:type="spellEnd"/>
            <w:r w:rsidRPr="00256143">
              <w:rPr>
                <w:rFonts w:ascii="Arial" w:hAnsi="Arial" w:cs="Arial"/>
                <w:lang w:val="lv-LV"/>
              </w:rPr>
              <w:t>?</w:t>
            </w:r>
          </w:p>
          <w:p w14:paraId="34F91D46" w14:textId="77777777" w:rsidR="00EA7A87" w:rsidRPr="00256143" w:rsidRDefault="00EA7A87" w:rsidP="003351AE">
            <w:pPr>
              <w:jc w:val="left"/>
              <w:rPr>
                <w:rFonts w:ascii="Arial" w:hAnsi="Arial" w:cs="Arial"/>
                <w:color w:val="202124"/>
                <w:lang w:val="lv-LV"/>
              </w:rPr>
            </w:pPr>
          </w:p>
        </w:tc>
        <w:tc>
          <w:tcPr>
            <w:tcW w:w="3969" w:type="dxa"/>
            <w:tcBorders>
              <w:left w:val="single" w:sz="4" w:space="0" w:color="auto"/>
              <w:right w:val="single" w:sz="4" w:space="0" w:color="auto"/>
            </w:tcBorders>
          </w:tcPr>
          <w:p w14:paraId="53E4D2DB" w14:textId="407EAD4C" w:rsidR="00EA7A87" w:rsidRPr="00256143" w:rsidRDefault="00311B4F" w:rsidP="00CC7E74">
            <w:pPr>
              <w:rPr>
                <w:rFonts w:ascii="Arial" w:hAnsi="Arial" w:cs="Arial"/>
                <w:lang w:val="lv-LV"/>
              </w:rPr>
            </w:pPr>
            <w:r w:rsidRPr="00256143">
              <w:rPr>
                <w:rFonts w:ascii="Arial" w:hAnsi="Arial" w:cs="Arial"/>
                <w:lang w:val="lv-LV"/>
              </w:rPr>
              <w:t>13.</w:t>
            </w:r>
            <w:r w:rsidR="002C6AA9" w:rsidRPr="00256143">
              <w:rPr>
                <w:rFonts w:ascii="Arial" w:hAnsi="Arial" w:cs="Arial"/>
                <w:lang w:val="lv-LV"/>
              </w:rPr>
              <w:t xml:space="preserve">Skatīt nolikuma 1.10.7.punktu, proti, </w:t>
            </w:r>
            <w:r w:rsidR="002C6AA9" w:rsidRPr="00256143">
              <w:rPr>
                <w:rStyle w:val="Hyperlink"/>
                <w:rFonts w:ascii="Arial" w:hAnsi="Arial" w:cs="Arial"/>
                <w:color w:val="auto"/>
                <w:lang w:val="lv-LV"/>
              </w:rPr>
              <w:t xml:space="preserve">piedāvājuma pienācīgai sagatavošanai pēc ieinteresētā piegādātāja pieprasījuma tiek organizēta objekta apskate. Iepriekšēja pieteikšanās obligāta </w:t>
            </w:r>
            <w:r w:rsidR="002C6AA9" w:rsidRPr="00256143">
              <w:rPr>
                <w:rFonts w:ascii="Arial" w:hAnsi="Arial" w:cs="Arial"/>
                <w:lang w:val="lv-LV"/>
              </w:rPr>
              <w:t xml:space="preserve">(tālrunis: +371 29531361, e-pasta adrese: </w:t>
            </w:r>
            <w:hyperlink r:id="rId5" w:history="1">
              <w:r w:rsidR="002C6AA9" w:rsidRPr="00256143">
                <w:rPr>
                  <w:rStyle w:val="Hyperlink"/>
                  <w:rFonts w:ascii="Arial" w:hAnsi="Arial" w:cs="Arial"/>
                  <w:color w:val="auto"/>
                  <w:lang w:val="lv-LV"/>
                </w:rPr>
                <w:t>aleksejs.vasiljevs2@ldz.lv</w:t>
              </w:r>
            </w:hyperlink>
            <w:r w:rsidR="002C6AA9" w:rsidRPr="00256143">
              <w:rPr>
                <w:rFonts w:ascii="Arial" w:hAnsi="Arial" w:cs="Arial"/>
                <w:lang w:val="lv-LV"/>
              </w:rPr>
              <w:t>);</w:t>
            </w:r>
          </w:p>
        </w:tc>
      </w:tr>
      <w:tr w:rsidR="00EA7A87" w:rsidRPr="00B54FF6" w14:paraId="3F6F7DC4"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75630A4C" w14:textId="7F8AB849" w:rsidR="00EA7A87" w:rsidRPr="00256143" w:rsidRDefault="00EA7A87" w:rsidP="003351AE">
            <w:pPr>
              <w:pStyle w:val="ListParagraph"/>
              <w:numPr>
                <w:ilvl w:val="0"/>
                <w:numId w:val="16"/>
              </w:numPr>
              <w:ind w:left="0" w:firstLine="0"/>
              <w:jc w:val="left"/>
              <w:rPr>
                <w:rFonts w:ascii="Arial" w:hAnsi="Arial" w:cs="Arial"/>
                <w:sz w:val="20"/>
                <w:szCs w:val="20"/>
                <w:lang w:val="lv-LV"/>
              </w:rPr>
            </w:pPr>
            <w:r w:rsidRPr="00256143">
              <w:rPr>
                <w:rFonts w:ascii="Arial" w:hAnsi="Arial" w:cs="Arial"/>
                <w:sz w:val="20"/>
                <w:szCs w:val="20"/>
                <w:lang w:val="lv-LV"/>
              </w:rPr>
              <w:t>Lūdzam precizēt, vai par sarunu procedūras nolikuma 1.pielikuma punkta 4.3. kvalifikācijai atbilstošu tiks atzīts ārvalstu pretendenta/ apakšuzņēmēja mītnes zemē izsniegta analoga dzelzceļa drošības apliecība.</w:t>
            </w:r>
          </w:p>
          <w:p w14:paraId="5D11BEB1" w14:textId="77777777" w:rsidR="00EA7A87" w:rsidRPr="00256143" w:rsidRDefault="00EA7A87" w:rsidP="003351AE">
            <w:pPr>
              <w:shd w:val="clear" w:color="auto" w:fill="F8F9FA"/>
              <w:jc w:val="left"/>
              <w:rPr>
                <w:rFonts w:ascii="Arial" w:hAnsi="Arial" w:cs="Arial"/>
                <w:color w:val="202124"/>
                <w:lang w:val="lv-LV"/>
              </w:rPr>
            </w:pPr>
          </w:p>
        </w:tc>
        <w:tc>
          <w:tcPr>
            <w:tcW w:w="3969" w:type="dxa"/>
            <w:tcBorders>
              <w:left w:val="single" w:sz="4" w:space="0" w:color="auto"/>
              <w:right w:val="single" w:sz="4" w:space="0" w:color="auto"/>
            </w:tcBorders>
          </w:tcPr>
          <w:p w14:paraId="0AE527BD" w14:textId="5627B719" w:rsidR="004E1B12" w:rsidRPr="00256143" w:rsidRDefault="00311B4F" w:rsidP="00FC0D82">
            <w:pPr>
              <w:rPr>
                <w:rFonts w:ascii="Arial" w:hAnsi="Arial" w:cs="Arial"/>
                <w:lang w:val="lv-LV"/>
              </w:rPr>
            </w:pPr>
            <w:r w:rsidRPr="00256143">
              <w:rPr>
                <w:rFonts w:ascii="Arial" w:hAnsi="Arial" w:cs="Arial"/>
                <w:lang w:val="lv-LV"/>
              </w:rPr>
              <w:t>14.</w:t>
            </w:r>
            <w:r w:rsidR="00FC0D82" w:rsidRPr="00256143">
              <w:rPr>
                <w:rFonts w:ascii="Arial" w:hAnsi="Arial" w:cs="Arial"/>
                <w:lang w:val="lv-LV"/>
              </w:rPr>
              <w:t xml:space="preserve">Nē, </w:t>
            </w:r>
            <w:r w:rsidR="008E7936" w:rsidRPr="00256143">
              <w:rPr>
                <w:rFonts w:ascii="Arial" w:hAnsi="Arial" w:cs="Arial"/>
                <w:lang w:val="lv-LV"/>
              </w:rPr>
              <w:t xml:space="preserve">analoga dzelzceļa drošības apliecība </w:t>
            </w:r>
            <w:r w:rsidR="00FC0D82" w:rsidRPr="00256143">
              <w:rPr>
                <w:rFonts w:ascii="Arial" w:hAnsi="Arial" w:cs="Arial"/>
                <w:lang w:val="lv-LV"/>
              </w:rPr>
              <w:t>netiks atzīta</w:t>
            </w:r>
            <w:r w:rsidR="008E7936" w:rsidRPr="00256143">
              <w:rPr>
                <w:rFonts w:ascii="Arial" w:hAnsi="Arial" w:cs="Arial"/>
                <w:lang w:val="lv-LV"/>
              </w:rPr>
              <w:t>.</w:t>
            </w:r>
            <w:r w:rsidR="003351AE" w:rsidRPr="00256143">
              <w:rPr>
                <w:rFonts w:ascii="Arial" w:hAnsi="Arial" w:cs="Arial"/>
                <w:lang w:val="lv-LV"/>
              </w:rPr>
              <w:t xml:space="preserve"> </w:t>
            </w:r>
            <w:r w:rsidR="004E1B12" w:rsidRPr="00256143">
              <w:rPr>
                <w:rFonts w:ascii="Arial" w:hAnsi="Arial" w:cs="Arial"/>
                <w:lang w:val="lv-LV"/>
              </w:rPr>
              <w:t xml:space="preserve"> Atbilstoši </w:t>
            </w:r>
            <w:r w:rsidR="004E1B12" w:rsidRPr="00256143">
              <w:rPr>
                <w:rFonts w:ascii="Arial" w:hAnsi="Arial" w:cs="Arial"/>
                <w:shd w:val="clear" w:color="auto" w:fill="FFFFFF"/>
                <w:lang w:val="lv-LV"/>
              </w:rPr>
              <w:t>Ministru kabineta 02.09.2014. noteikumu Nr.530</w:t>
            </w:r>
            <w:r w:rsidR="004E1B12" w:rsidRPr="00256143">
              <w:rPr>
                <w:rFonts w:ascii="Arial" w:hAnsi="Arial" w:cs="Arial"/>
                <w:lang w:val="lv-LV"/>
              </w:rPr>
              <w:t xml:space="preserve"> “Dzelzceļa būvnoteikumi” 39.punktam </w:t>
            </w:r>
            <w:r w:rsidR="004E1B12" w:rsidRPr="00256143">
              <w:rPr>
                <w:rFonts w:ascii="Arial" w:hAnsi="Arial" w:cs="Arial"/>
                <w:shd w:val="clear" w:color="auto" w:fill="FFFFFF"/>
                <w:lang w:val="lv-LV"/>
              </w:rPr>
              <w:t xml:space="preserve">dzelzceļa infrastruktūras objekta būvdarbus var veikt būvkomersants, kas normatīvajos aktos noteiktajā kārtībā ir saņēmis drošības apliecību dzelzceļa infrastruktūras tehniskā aprīkojuma būvniecībai. </w:t>
            </w:r>
          </w:p>
          <w:p w14:paraId="6543357F" w14:textId="71A4B043" w:rsidR="004E1B12" w:rsidRPr="00256143" w:rsidRDefault="004E1B12" w:rsidP="00FC0D82">
            <w:pPr>
              <w:rPr>
                <w:rFonts w:ascii="Arial" w:hAnsi="Arial" w:cs="Arial"/>
                <w:lang w:val="lv-LV"/>
              </w:rPr>
            </w:pPr>
            <w:r w:rsidRPr="00256143">
              <w:rPr>
                <w:rFonts w:ascii="Arial" w:hAnsi="Arial" w:cs="Arial"/>
                <w:lang w:val="lv-LV"/>
              </w:rPr>
              <w:t>Dzelzceļa likuma 35.</w:t>
            </w:r>
            <w:r w:rsidRPr="00256143">
              <w:rPr>
                <w:rFonts w:ascii="Arial" w:hAnsi="Arial" w:cs="Arial"/>
                <w:vertAlign w:val="superscript"/>
                <w:lang w:val="lv-LV"/>
              </w:rPr>
              <w:t>1</w:t>
            </w:r>
            <w:r w:rsidRPr="00256143">
              <w:rPr>
                <w:rFonts w:ascii="Arial" w:hAnsi="Arial" w:cs="Arial"/>
                <w:lang w:val="lv-LV"/>
              </w:rPr>
              <w:t> pants nosaka dzelzceļa drošības apliecības saņemšanas kārtību un nosacījumus.</w:t>
            </w:r>
          </w:p>
          <w:p w14:paraId="0CCD6A30" w14:textId="52F6BB14" w:rsidR="00EA7A87" w:rsidRPr="00256143" w:rsidRDefault="004E1B12" w:rsidP="004E1B12">
            <w:pPr>
              <w:rPr>
                <w:rFonts w:ascii="Arial" w:hAnsi="Arial" w:cs="Arial"/>
                <w:lang w:val="lv-LV"/>
              </w:rPr>
            </w:pPr>
            <w:r w:rsidRPr="00256143">
              <w:rPr>
                <w:rFonts w:ascii="Arial" w:hAnsi="Arial" w:cs="Arial"/>
                <w:shd w:val="clear" w:color="auto" w:fill="FFFFFF"/>
                <w:lang w:val="lv-LV"/>
              </w:rPr>
              <w:t>Lēmumu par drošības apliecības izdošanu  četru mēnešu laikā pieņem Latvijas Republikas Valsts dzelzceļa tehniskā inspekcija.</w:t>
            </w:r>
          </w:p>
        </w:tc>
      </w:tr>
      <w:tr w:rsidR="00311B4F" w:rsidRPr="00B54FF6" w14:paraId="4858F5FB"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5B3891C2" w14:textId="2356921C"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Vai ir nepieciešams rīkot rūpnīcas pārbaudi kopā ar Pasūtītāju? </w:t>
            </w:r>
          </w:p>
        </w:tc>
        <w:tc>
          <w:tcPr>
            <w:tcW w:w="3969" w:type="dxa"/>
            <w:tcBorders>
              <w:left w:val="single" w:sz="4" w:space="0" w:color="auto"/>
              <w:right w:val="single" w:sz="4" w:space="0" w:color="auto"/>
            </w:tcBorders>
          </w:tcPr>
          <w:p w14:paraId="243CB784" w14:textId="0D928DEE" w:rsidR="00311B4F" w:rsidRPr="00256143" w:rsidRDefault="00311B4F" w:rsidP="00311B4F">
            <w:pPr>
              <w:rPr>
                <w:rFonts w:ascii="Arial" w:hAnsi="Arial" w:cs="Arial"/>
                <w:lang w:val="lv-LV"/>
              </w:rPr>
            </w:pPr>
            <w:r w:rsidRPr="00256143">
              <w:rPr>
                <w:rFonts w:ascii="Arial" w:hAnsi="Arial" w:cs="Arial"/>
                <w:lang w:val="lv-LV"/>
              </w:rPr>
              <w:t>15. Jā, ir nepieciešams rīkot rūpnīcas pārbaudi kopā ar Pasūtītāju.</w:t>
            </w:r>
          </w:p>
        </w:tc>
      </w:tr>
      <w:tr w:rsidR="00311B4F" w:rsidRPr="00B54FF6" w14:paraId="59F97EEA"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36B7662F" w14:textId="582B6A38"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Vai centralizācijas sistēmas projektēšanas ietvaros Uzņēmēja darbu apjoms ietver shematisku plānu, savstarpējo atkarību tabulu, </w:t>
            </w:r>
            <w:proofErr w:type="spellStart"/>
            <w:r w:rsidRPr="00256143">
              <w:rPr>
                <w:rFonts w:ascii="Arial" w:eastAsia="Times New Roman" w:hAnsi="Arial" w:cs="Arial"/>
                <w:sz w:val="20"/>
                <w:szCs w:val="20"/>
              </w:rPr>
              <w:t>divpavedienu</w:t>
            </w:r>
            <w:proofErr w:type="spellEnd"/>
            <w:r w:rsidRPr="00256143">
              <w:rPr>
                <w:rFonts w:ascii="Arial" w:eastAsia="Times New Roman" w:hAnsi="Arial" w:cs="Arial"/>
                <w:sz w:val="20"/>
                <w:szCs w:val="20"/>
              </w:rPr>
              <w:t xml:space="preserve"> plānu, kabeļu plānu, iekārtu specifikāciju?</w:t>
            </w:r>
          </w:p>
        </w:tc>
        <w:tc>
          <w:tcPr>
            <w:tcW w:w="3969" w:type="dxa"/>
            <w:tcBorders>
              <w:left w:val="single" w:sz="4" w:space="0" w:color="auto"/>
              <w:right w:val="single" w:sz="4" w:space="0" w:color="auto"/>
            </w:tcBorders>
          </w:tcPr>
          <w:p w14:paraId="34D7E859" w14:textId="4A5BAD7D" w:rsidR="00311B4F" w:rsidRPr="00256143" w:rsidRDefault="00311B4F" w:rsidP="00311B4F">
            <w:pPr>
              <w:rPr>
                <w:rFonts w:ascii="Arial" w:hAnsi="Arial" w:cs="Arial"/>
                <w:lang w:val="lv-LV"/>
              </w:rPr>
            </w:pPr>
            <w:r w:rsidRPr="00256143">
              <w:rPr>
                <w:rFonts w:ascii="Arial" w:hAnsi="Arial" w:cs="Arial"/>
                <w:lang w:val="lv-LV"/>
              </w:rPr>
              <w:t xml:space="preserve">16. Jā, centralizācijas sistēmas projektēšanas ietvaros Uzņēmēja darbu apjoms ietver shematisko plānu, savstarpējo atkarību tabulas, </w:t>
            </w:r>
            <w:proofErr w:type="spellStart"/>
            <w:r w:rsidRPr="00256143">
              <w:rPr>
                <w:rFonts w:ascii="Arial" w:hAnsi="Arial" w:cs="Arial"/>
                <w:lang w:val="lv-LV"/>
              </w:rPr>
              <w:t>divpavedienu</w:t>
            </w:r>
            <w:proofErr w:type="spellEnd"/>
            <w:r w:rsidRPr="00256143">
              <w:rPr>
                <w:rFonts w:ascii="Arial" w:hAnsi="Arial" w:cs="Arial"/>
                <w:lang w:val="lv-LV"/>
              </w:rPr>
              <w:t xml:space="preserve"> plānu, kabeļu plānu un iekārtu specifikāciju izstrādi.</w:t>
            </w:r>
          </w:p>
        </w:tc>
      </w:tr>
      <w:tr w:rsidR="00311B4F" w:rsidRPr="00B54FF6" w14:paraId="061F494C"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0E478479" w14:textId="6F84355D"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Vai ir nepieciešams pārrēķināt pārbrauktuvju darbības nosacījumus ceļa posmos Glūda – Dobele; Dobele-Biksti?</w:t>
            </w:r>
          </w:p>
        </w:tc>
        <w:tc>
          <w:tcPr>
            <w:tcW w:w="3969" w:type="dxa"/>
            <w:tcBorders>
              <w:left w:val="single" w:sz="4" w:space="0" w:color="auto"/>
              <w:right w:val="single" w:sz="4" w:space="0" w:color="auto"/>
            </w:tcBorders>
          </w:tcPr>
          <w:p w14:paraId="3A1B7FEF" w14:textId="77777777" w:rsidR="00311B4F" w:rsidRPr="00256143" w:rsidRDefault="00311B4F" w:rsidP="00311B4F">
            <w:pPr>
              <w:rPr>
                <w:rFonts w:ascii="Arial" w:hAnsi="Arial" w:cs="Arial"/>
                <w:lang w:val="lv-LV"/>
              </w:rPr>
            </w:pPr>
            <w:r w:rsidRPr="00256143">
              <w:rPr>
                <w:rFonts w:ascii="Arial" w:hAnsi="Arial" w:cs="Arial"/>
                <w:lang w:val="lv-LV"/>
              </w:rPr>
              <w:t>17. Nav nepieciešams pārrēķināt pārbrauktuvju darbības nosacījumus ceļa posmos Glūda – Dobele; Dobele-Biksti.</w:t>
            </w:r>
          </w:p>
          <w:p w14:paraId="68B1BFFD" w14:textId="4C07C067" w:rsidR="00311B4F" w:rsidRPr="00256143" w:rsidRDefault="00311B4F" w:rsidP="00311B4F">
            <w:pPr>
              <w:rPr>
                <w:rFonts w:ascii="Arial" w:hAnsi="Arial" w:cs="Arial"/>
                <w:lang w:val="lv-LV"/>
              </w:rPr>
            </w:pPr>
            <w:r w:rsidRPr="00256143">
              <w:rPr>
                <w:rFonts w:ascii="Arial" w:hAnsi="Arial" w:cs="Arial"/>
                <w:lang w:val="lv-LV"/>
              </w:rPr>
              <w:t xml:space="preserve">Jānodrošina ceļa posma Dobele – Glūda pārbrauktuvju 63,658km, 67,686km un 74,794km darbības kontrole MPC sistēmā atbilstoši Nolikuma 2.pielikuma 4.8.3.2. punktam. Šīs pārbrauktuves aprīkotas ar automātisko luksoforu signalizāciju, darbības kontrole tiek veikta izmantojot ČDK sistēmu. </w:t>
            </w:r>
          </w:p>
        </w:tc>
      </w:tr>
      <w:tr w:rsidR="00311B4F" w:rsidRPr="00256143" w14:paraId="54E0489A"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1A7DCF11" w14:textId="609A0768"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Vai ir iespējams uzstādīt ADV ESD sistēmas bloku vienā telpā ar ADV ESD darba vietu. Vai ir atļauts izmantot sistēmas blokus ar aktīvo dzesēšanu, kādi ir trokšņa standarti.</w:t>
            </w:r>
          </w:p>
        </w:tc>
        <w:tc>
          <w:tcPr>
            <w:tcW w:w="3969" w:type="dxa"/>
            <w:tcBorders>
              <w:left w:val="single" w:sz="4" w:space="0" w:color="auto"/>
              <w:right w:val="single" w:sz="4" w:space="0" w:color="auto"/>
            </w:tcBorders>
          </w:tcPr>
          <w:p w14:paraId="606CFB52" w14:textId="77777777" w:rsidR="00311B4F" w:rsidRPr="00256143" w:rsidRDefault="00311B4F" w:rsidP="00311B4F">
            <w:pPr>
              <w:rPr>
                <w:rFonts w:ascii="Arial" w:hAnsi="Arial" w:cs="Arial"/>
                <w:b/>
                <w:bCs/>
                <w:color w:val="333333"/>
                <w:bdr w:val="none" w:sz="0" w:space="0" w:color="auto" w:frame="1"/>
                <w:shd w:val="clear" w:color="auto" w:fill="FFFFFF"/>
                <w:lang w:val="lv-LV"/>
              </w:rPr>
            </w:pPr>
            <w:r w:rsidRPr="00256143">
              <w:rPr>
                <w:rFonts w:ascii="Arial" w:hAnsi="Arial" w:cs="Arial"/>
                <w:lang w:val="lv-LV"/>
              </w:rPr>
              <w:t>18. Nav atļauts ADV ESD sistēmas bloku uzstādīšana vienā telpā ar ADV ESD darba vietu. Trokšņa standarti:</w:t>
            </w:r>
            <w:r w:rsidRPr="00256143">
              <w:rPr>
                <w:rFonts w:ascii="Arial" w:hAnsi="Arial" w:cs="Arial"/>
                <w:b/>
                <w:bCs/>
                <w:color w:val="333333"/>
                <w:bdr w:val="none" w:sz="0" w:space="0" w:color="auto" w:frame="1"/>
                <w:shd w:val="clear" w:color="auto" w:fill="FFFFFF"/>
                <w:lang w:val="lv-LV"/>
              </w:rPr>
              <w:t xml:space="preserve"> </w:t>
            </w:r>
          </w:p>
          <w:p w14:paraId="4FF252B4" w14:textId="77777777" w:rsidR="00311B4F" w:rsidRPr="00256143" w:rsidRDefault="00311B4F" w:rsidP="00311B4F">
            <w:pPr>
              <w:rPr>
                <w:rFonts w:ascii="Arial" w:hAnsi="Arial" w:cs="Arial"/>
                <w:lang w:val="lv-LV"/>
              </w:rPr>
            </w:pPr>
            <w:r w:rsidRPr="00256143">
              <w:rPr>
                <w:rFonts w:ascii="Arial" w:hAnsi="Arial" w:cs="Arial"/>
                <w:lang w:val="lv-LV"/>
              </w:rPr>
              <w:t>1. Ministru kabineta noteikumi Nr.312 Noteikumi par Latvijas būvnormatīvu LBN 016-15 "Būvakustika" Rīgā 2015.gada 16.jūnijā (prot. Nr.29 5.§);</w:t>
            </w:r>
          </w:p>
          <w:p w14:paraId="677D818F" w14:textId="1E5B9C08" w:rsidR="00311B4F" w:rsidRPr="00256143" w:rsidRDefault="00311B4F" w:rsidP="00311B4F">
            <w:pPr>
              <w:rPr>
                <w:rFonts w:ascii="Arial" w:hAnsi="Arial" w:cs="Arial"/>
                <w:lang w:val="lv-LV"/>
              </w:rPr>
            </w:pPr>
            <w:r w:rsidRPr="00256143">
              <w:rPr>
                <w:rFonts w:ascii="Arial" w:hAnsi="Arial" w:cs="Arial"/>
                <w:lang w:val="lv-LV"/>
              </w:rPr>
              <w:t>2. Ministru kabineta noteikumi Nr.16, “Trokšņa novērtēšanas un pārvaldības kārtība” Rīgā 2014.gada 7.janvārī (prot. Nr.1 46.§).</w:t>
            </w:r>
          </w:p>
        </w:tc>
      </w:tr>
      <w:tr w:rsidR="00311B4F" w:rsidRPr="00256143" w14:paraId="1D5E23BF"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3A8AF0A4" w14:textId="634911BB"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Vai ir īpašas prasības darba vietas monitoriem? </w:t>
            </w:r>
          </w:p>
        </w:tc>
        <w:tc>
          <w:tcPr>
            <w:tcW w:w="3969" w:type="dxa"/>
            <w:tcBorders>
              <w:left w:val="single" w:sz="4" w:space="0" w:color="auto"/>
              <w:right w:val="single" w:sz="4" w:space="0" w:color="auto"/>
            </w:tcBorders>
          </w:tcPr>
          <w:p w14:paraId="7F3E8AC2" w14:textId="3B7DB42D" w:rsidR="00311B4F" w:rsidRPr="00256143" w:rsidRDefault="00311B4F" w:rsidP="00311B4F">
            <w:pPr>
              <w:rPr>
                <w:rFonts w:ascii="Arial" w:hAnsi="Arial" w:cs="Arial"/>
                <w:lang w:val="lv-LV"/>
              </w:rPr>
            </w:pPr>
            <w:r w:rsidRPr="00256143">
              <w:rPr>
                <w:rFonts w:ascii="Arial" w:hAnsi="Arial" w:cs="Arial"/>
                <w:lang w:val="lv-LV"/>
              </w:rPr>
              <w:t>19. Monitori (IPS LED), ne mazāki kā 27 collas.</w:t>
            </w:r>
          </w:p>
        </w:tc>
      </w:tr>
      <w:tr w:rsidR="00311B4F" w:rsidRPr="00256143" w14:paraId="2B71CB10"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603B761A" w14:textId="62AD103F" w:rsidR="00311B4F" w:rsidRPr="00256143" w:rsidRDefault="00311B4F" w:rsidP="00311B4F">
            <w:pPr>
              <w:pStyle w:val="Text"/>
              <w:numPr>
                <w:ilvl w:val="0"/>
                <w:numId w:val="16"/>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Ir nepieciešams sekojošo prasību detalizētāks skaidrojums: </w:t>
            </w:r>
          </w:p>
          <w:p w14:paraId="642E9A96" w14:textId="77777777" w:rsidR="00311B4F" w:rsidRPr="00256143" w:rsidRDefault="00311B4F" w:rsidP="00311B4F">
            <w:pPr>
              <w:pStyle w:val="Text"/>
              <w:numPr>
                <w:ilvl w:val="0"/>
                <w:numId w:val="11"/>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2.pielikums – Pasūtītāja prasības. Sadaļa 4.5.1.1 operatora iestatīto maršrutu saglabāšanu, lai izpildītu tos sērijas secībā, ar nosacījumu, ka šim operatoram ir pilnvaras veikt šo funkciju;</w:t>
            </w:r>
          </w:p>
          <w:p w14:paraId="6AED4FD8" w14:textId="77777777" w:rsidR="00311B4F" w:rsidRPr="00256143" w:rsidRDefault="00311B4F" w:rsidP="00311B4F">
            <w:pPr>
              <w:pStyle w:val="Text"/>
              <w:numPr>
                <w:ilvl w:val="0"/>
                <w:numId w:val="11"/>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2.pielikums – Pasūtītāja prasības. Sadaļa 4.5.1.3. Nav jāuzstāda luksofori </w:t>
            </w:r>
            <w:proofErr w:type="spellStart"/>
            <w:r w:rsidRPr="00256143">
              <w:rPr>
                <w:rFonts w:ascii="Arial" w:eastAsia="Times New Roman" w:hAnsi="Arial" w:cs="Arial"/>
                <w:sz w:val="20"/>
                <w:szCs w:val="20"/>
              </w:rPr>
              <w:t>aizsargstrupceļos</w:t>
            </w:r>
            <w:proofErr w:type="spellEnd"/>
            <w:r w:rsidRPr="00256143">
              <w:rPr>
                <w:rFonts w:ascii="Arial" w:eastAsia="Times New Roman" w:hAnsi="Arial" w:cs="Arial"/>
                <w:sz w:val="20"/>
                <w:szCs w:val="20"/>
              </w:rPr>
              <w:t xml:space="preserve">; </w:t>
            </w:r>
          </w:p>
          <w:p w14:paraId="430726B5" w14:textId="0580B846" w:rsidR="00311B4F" w:rsidRPr="00256143" w:rsidRDefault="00311B4F" w:rsidP="00311B4F">
            <w:pPr>
              <w:pStyle w:val="Text"/>
              <w:numPr>
                <w:ilvl w:val="0"/>
                <w:numId w:val="11"/>
              </w:numPr>
              <w:spacing w:line="240" w:lineRule="auto"/>
              <w:ind w:left="0" w:firstLine="0"/>
              <w:jc w:val="left"/>
              <w:rPr>
                <w:rFonts w:ascii="Arial" w:eastAsia="Times New Roman" w:hAnsi="Arial" w:cs="Arial"/>
                <w:sz w:val="20"/>
                <w:szCs w:val="20"/>
              </w:rPr>
            </w:pPr>
            <w:r w:rsidRPr="00256143">
              <w:rPr>
                <w:rFonts w:ascii="Arial" w:eastAsia="Times New Roman" w:hAnsi="Arial" w:cs="Arial"/>
                <w:sz w:val="20"/>
                <w:szCs w:val="20"/>
              </w:rPr>
              <w:t xml:space="preserve">2.pielikums – Pasūtītāja prasības. Sadaļa 4.8.1 Uzņēmējam jānodrošina, ka mikroprocesoru centralizācijas robežas ir iespējami vienkāršas un ierobežo pārrobežu sakarus. Mikroprocesoru centralizācijas sistēmas robežas un moduļu novietojums, kad vien iespējams, ir projektēts tādā veidā, ka viena objekta vadības ierīču kļūme neietekmē visu staciju vai līnijas attiecīgajā zonā. </w:t>
            </w:r>
          </w:p>
        </w:tc>
        <w:tc>
          <w:tcPr>
            <w:tcW w:w="3969" w:type="dxa"/>
            <w:tcBorders>
              <w:left w:val="single" w:sz="4" w:space="0" w:color="auto"/>
              <w:right w:val="single" w:sz="4" w:space="0" w:color="auto"/>
            </w:tcBorders>
          </w:tcPr>
          <w:p w14:paraId="6075F0F2" w14:textId="77777777" w:rsidR="00311B4F" w:rsidRPr="00256143" w:rsidRDefault="00311B4F" w:rsidP="00311B4F">
            <w:pPr>
              <w:jc w:val="left"/>
              <w:rPr>
                <w:rFonts w:ascii="Arial" w:hAnsi="Arial" w:cs="Arial"/>
                <w:lang w:val="lv-LV"/>
              </w:rPr>
            </w:pPr>
            <w:r w:rsidRPr="00256143">
              <w:rPr>
                <w:rFonts w:ascii="Arial" w:hAnsi="Arial" w:cs="Arial"/>
                <w:lang w:val="lv-LV"/>
              </w:rPr>
              <w:t xml:space="preserve">20. Skaidrojam, ka: </w:t>
            </w:r>
          </w:p>
          <w:p w14:paraId="27A96283" w14:textId="77777777" w:rsidR="00311B4F" w:rsidRPr="00256143" w:rsidRDefault="00311B4F" w:rsidP="00311B4F">
            <w:pPr>
              <w:jc w:val="left"/>
              <w:rPr>
                <w:rFonts w:ascii="Arial" w:hAnsi="Arial" w:cs="Arial"/>
                <w:lang w:val="lv-LV"/>
              </w:rPr>
            </w:pPr>
            <w:r w:rsidRPr="00256143">
              <w:rPr>
                <w:rFonts w:ascii="Arial" w:hAnsi="Arial" w:cs="Arial"/>
                <w:lang w:val="lv-LV"/>
              </w:rPr>
              <w:t>a) Nolikuma 2.pielikuma sadaļa 4.5.1.1 - maršruta iepriekšēja sagatavošana stacijā nav paredzēta;</w:t>
            </w:r>
          </w:p>
          <w:p w14:paraId="2834F2F7" w14:textId="77777777" w:rsidR="00311B4F" w:rsidRPr="00256143" w:rsidRDefault="00311B4F" w:rsidP="00311B4F">
            <w:pPr>
              <w:jc w:val="left"/>
              <w:rPr>
                <w:rFonts w:ascii="Arial" w:hAnsi="Arial" w:cs="Arial"/>
                <w:lang w:val="lv-LV"/>
              </w:rPr>
            </w:pPr>
            <w:r w:rsidRPr="00256143">
              <w:rPr>
                <w:rFonts w:ascii="Arial" w:hAnsi="Arial" w:cs="Arial"/>
                <w:lang w:val="lv-LV"/>
              </w:rPr>
              <w:t xml:space="preserve">b) Nolikuma 2.pielikuma sadaļa 4.5.1.3. – Dobeles stacijā nav </w:t>
            </w:r>
            <w:proofErr w:type="spellStart"/>
            <w:r w:rsidRPr="00256143">
              <w:rPr>
                <w:rFonts w:ascii="Arial" w:hAnsi="Arial" w:cs="Arial"/>
                <w:lang w:val="lv-LV"/>
              </w:rPr>
              <w:t>aizsargstrupceļus</w:t>
            </w:r>
            <w:proofErr w:type="spellEnd"/>
            <w:r w:rsidRPr="00256143">
              <w:rPr>
                <w:rFonts w:ascii="Arial" w:hAnsi="Arial" w:cs="Arial"/>
                <w:lang w:val="lv-LV"/>
              </w:rPr>
              <w:t>;</w:t>
            </w:r>
          </w:p>
          <w:p w14:paraId="0464D5FC" w14:textId="1259AA20" w:rsidR="00311B4F" w:rsidRPr="00256143" w:rsidRDefault="00311B4F" w:rsidP="00311B4F">
            <w:pPr>
              <w:rPr>
                <w:rFonts w:ascii="Arial" w:hAnsi="Arial" w:cs="Arial"/>
                <w:lang w:val="lv-LV"/>
              </w:rPr>
            </w:pPr>
            <w:r w:rsidRPr="00256143">
              <w:rPr>
                <w:rFonts w:ascii="Arial" w:hAnsi="Arial" w:cs="Arial"/>
                <w:lang w:val="lv-LV"/>
              </w:rPr>
              <w:t xml:space="preserve">c) Nolikuma 2.pielikuma sadaļa 4.8.1.sadaļa noteic, ka mikroprocesoru centralizācijas sistēmai jābūt ar tādu modulāru arhitektūru, kas lokālās kļūmes gadījumā nodrošina pārējo stacijas objektu vadību, kā arī šādos gadījumos netiek ietekmēta citu staciju darbība (sk. Nolikuma 2.pielikuma 4.3.sadaļas prasības attiecībā uz sistēmas modernizācijas iespējām).  </w:t>
            </w:r>
          </w:p>
        </w:tc>
      </w:tr>
      <w:tr w:rsidR="00311B4F" w:rsidRPr="00B54FF6" w14:paraId="0E67BF8B"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6DD375E1" w14:textId="0AD20AA9" w:rsidR="00311B4F" w:rsidRPr="00256143" w:rsidRDefault="00311B4F" w:rsidP="00311B4F">
            <w:pPr>
              <w:pStyle w:val="ListParagraph"/>
              <w:numPr>
                <w:ilvl w:val="0"/>
                <w:numId w:val="16"/>
              </w:numPr>
              <w:ind w:left="0" w:firstLine="0"/>
              <w:jc w:val="left"/>
              <w:rPr>
                <w:rFonts w:ascii="Arial" w:hAnsi="Arial" w:cs="Arial"/>
                <w:sz w:val="20"/>
                <w:szCs w:val="20"/>
                <w:lang w:val="lv-LV"/>
              </w:rPr>
            </w:pPr>
            <w:r w:rsidRPr="00256143">
              <w:rPr>
                <w:rFonts w:ascii="Arial" w:hAnsi="Arial" w:cs="Arial"/>
                <w:sz w:val="20"/>
                <w:szCs w:val="20"/>
                <w:lang w:val="lv-LV"/>
              </w:rPr>
              <w:t>Vai esošie dokumenti tiks izsniegti Uzņēmējam elektroniski rediģējamā formā, lai tajos veiktu izmaiņas?</w:t>
            </w:r>
          </w:p>
        </w:tc>
        <w:tc>
          <w:tcPr>
            <w:tcW w:w="3969" w:type="dxa"/>
            <w:tcBorders>
              <w:left w:val="single" w:sz="4" w:space="0" w:color="auto"/>
              <w:right w:val="single" w:sz="4" w:space="0" w:color="auto"/>
            </w:tcBorders>
          </w:tcPr>
          <w:p w14:paraId="645E3D6F" w14:textId="14E0508A" w:rsidR="00311B4F" w:rsidRPr="00256143" w:rsidRDefault="00311B4F" w:rsidP="00311B4F">
            <w:pPr>
              <w:rPr>
                <w:rFonts w:ascii="Arial" w:hAnsi="Arial" w:cs="Arial"/>
                <w:lang w:val="lv-LV"/>
              </w:rPr>
            </w:pPr>
            <w:r w:rsidRPr="00256143">
              <w:rPr>
                <w:rFonts w:ascii="Arial" w:hAnsi="Arial" w:cs="Arial"/>
                <w:lang w:val="lv-LV"/>
              </w:rPr>
              <w:t>21. Visi esošie dokumenti tiks izsniegti Uzņēmējam “</w:t>
            </w:r>
            <w:proofErr w:type="spellStart"/>
            <w:r w:rsidRPr="00256143">
              <w:rPr>
                <w:rFonts w:ascii="Arial" w:hAnsi="Arial" w:cs="Arial"/>
                <w:lang w:val="lv-LV"/>
              </w:rPr>
              <w:t>pdf</w:t>
            </w:r>
            <w:proofErr w:type="spellEnd"/>
            <w:r w:rsidRPr="00256143">
              <w:rPr>
                <w:rFonts w:ascii="Arial" w:hAnsi="Arial" w:cs="Arial"/>
                <w:lang w:val="lv-LV"/>
              </w:rPr>
              <w:t>” formātā.</w:t>
            </w:r>
          </w:p>
        </w:tc>
      </w:tr>
      <w:tr w:rsidR="00311B4F" w:rsidRPr="00256143" w14:paraId="7571F1ED"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61944A74" w14:textId="5AE2E633" w:rsidR="00311B4F" w:rsidRPr="00256143" w:rsidRDefault="00311B4F" w:rsidP="00311B4F">
            <w:pPr>
              <w:jc w:val="left"/>
              <w:rPr>
                <w:rFonts w:ascii="Arial" w:hAnsi="Arial" w:cs="Arial"/>
                <w:lang w:val="lv-LV"/>
              </w:rPr>
            </w:pPr>
            <w:r w:rsidRPr="00256143">
              <w:rPr>
                <w:rFonts w:ascii="Arial" w:hAnsi="Arial" w:cs="Arial"/>
                <w:lang w:val="lv-LV"/>
              </w:rPr>
              <w:t xml:space="preserve">22. 2.pielikums – Pasūtītāja prasības. Sadaļa 5.5.2.11 Vilciena caurlaidei vai manevru veikšanai pārbrauktuves SCB sistēmu var ieslēgt, vienlaicīgi atverot izejas / manevru luksoforu, kas atļauj lokomotīvei (manevru vienībai) iebraukt pārbrauktuves zonā. Ja tiek veikti vilcienu vai manevru sastāva kustība ar aizliedzošu luksoforu </w:t>
            </w:r>
            <w:proofErr w:type="spellStart"/>
            <w:r w:rsidRPr="00256143">
              <w:rPr>
                <w:rFonts w:ascii="Arial" w:hAnsi="Arial" w:cs="Arial"/>
                <w:lang w:val="lv-LV"/>
              </w:rPr>
              <w:t>signālrādījumu</w:t>
            </w:r>
            <w:proofErr w:type="spellEnd"/>
            <w:r w:rsidRPr="00256143">
              <w:rPr>
                <w:rFonts w:ascii="Arial" w:hAnsi="Arial" w:cs="Arial"/>
                <w:lang w:val="lv-LV"/>
              </w:rPr>
              <w:t>, pārbrauktuves ir jāslēdz, stacijas dežurantam/ Dzelzceļa pārbrauktuvju vadības centra dežurantam dodot komandu „Pārbrauktuves slēgšana”. Pārbrauktuves slēgšana pēc dotās komandas ir jāpārbauda darba vietas monitorā. Vai šo prasību var interpretēt tā, ka Dzelzceļa pārbrauktuvju vadības centra dežurantam jāpārbauda nevis monitorā, bet pultī?</w:t>
            </w:r>
          </w:p>
          <w:p w14:paraId="07400DC7" w14:textId="36EFBE4D" w:rsidR="00311B4F" w:rsidRPr="00256143" w:rsidRDefault="00311B4F" w:rsidP="00311B4F">
            <w:pPr>
              <w:pStyle w:val="mt-translation"/>
              <w:spacing w:before="0" w:beforeAutospacing="0" w:after="0" w:afterAutospacing="0"/>
              <w:jc w:val="left"/>
              <w:rPr>
                <w:rFonts w:ascii="Arial" w:eastAsia="Times New Roman" w:hAnsi="Arial" w:cs="Arial"/>
                <w:color w:val="auto"/>
                <w:sz w:val="20"/>
                <w:szCs w:val="20"/>
                <w:lang w:eastAsia="en-US"/>
              </w:rPr>
            </w:pPr>
            <w:r w:rsidRPr="00256143">
              <w:rPr>
                <w:rFonts w:ascii="Arial" w:eastAsia="Times New Roman" w:hAnsi="Arial" w:cs="Arial"/>
                <w:color w:val="auto"/>
                <w:sz w:val="20"/>
                <w:szCs w:val="20"/>
              </w:rPr>
              <w:t xml:space="preserve">2.pielikums – Pasūtītāja prasības. </w:t>
            </w:r>
            <w:r w:rsidRPr="00256143">
              <w:rPr>
                <w:rFonts w:ascii="Arial" w:eastAsia="Times New Roman" w:hAnsi="Arial" w:cs="Arial"/>
                <w:sz w:val="20"/>
                <w:szCs w:val="20"/>
              </w:rPr>
              <w:t xml:space="preserve">Sadaļa 5.5.4 </w:t>
            </w:r>
            <w:r w:rsidRPr="00256143">
              <w:rPr>
                <w:rFonts w:ascii="Arial" w:eastAsia="Times New Roman" w:hAnsi="Arial" w:cs="Arial"/>
                <w:color w:val="auto"/>
                <w:sz w:val="20"/>
                <w:szCs w:val="20"/>
                <w:lang w:eastAsia="ru-RU"/>
              </w:rPr>
              <w:t>Pārbrauktuves vadības un kontroles ierīcēm jānodrošina šādu funkciju veikšana: lūdzu, uzskaitiet, kurām no šīm funkcijām jābūt pieejamām vadības un kontroles ierīcēs sekojošās darba vietās</w:t>
            </w:r>
            <w:r w:rsidRPr="00256143">
              <w:rPr>
                <w:rFonts w:ascii="Arial" w:eastAsia="Times New Roman" w:hAnsi="Arial" w:cs="Arial"/>
                <w:color w:val="auto"/>
                <w:sz w:val="20"/>
                <w:szCs w:val="20"/>
                <w:lang w:eastAsia="en-US"/>
              </w:rPr>
              <w:t>: stacijas dežurants, Dzelzceļa pārbrauktuvju vadības centra dežurants un elektrotehnisko iekārtu MPC, MPDC inženieru tehnoloģiskā iecirkņa maiņas darbinieks</w:t>
            </w:r>
          </w:p>
        </w:tc>
        <w:tc>
          <w:tcPr>
            <w:tcW w:w="3969" w:type="dxa"/>
            <w:tcBorders>
              <w:left w:val="single" w:sz="4" w:space="0" w:color="auto"/>
              <w:right w:val="single" w:sz="4" w:space="0" w:color="auto"/>
            </w:tcBorders>
          </w:tcPr>
          <w:p w14:paraId="7C7E7979" w14:textId="77777777" w:rsidR="00311B4F" w:rsidRPr="00256143" w:rsidRDefault="00311B4F" w:rsidP="00311B4F">
            <w:pPr>
              <w:rPr>
                <w:rFonts w:ascii="Arial" w:hAnsi="Arial" w:cs="Arial"/>
                <w:lang w:val="lv-LV"/>
              </w:rPr>
            </w:pPr>
            <w:r w:rsidRPr="00256143">
              <w:rPr>
                <w:rFonts w:ascii="Arial" w:hAnsi="Arial" w:cs="Arial"/>
                <w:lang w:val="lv-LV"/>
              </w:rPr>
              <w:t>2.pielikums – Pasūtītāja prasības. Sadaļa 5.5.2.11.</w:t>
            </w:r>
          </w:p>
          <w:p w14:paraId="1B0711C4" w14:textId="77777777" w:rsidR="00311B4F" w:rsidRPr="00256143" w:rsidRDefault="00311B4F" w:rsidP="00311B4F">
            <w:pPr>
              <w:rPr>
                <w:rFonts w:ascii="Arial" w:hAnsi="Arial" w:cs="Arial"/>
                <w:lang w:val="lv-LV"/>
              </w:rPr>
            </w:pPr>
            <w:r w:rsidRPr="00256143">
              <w:rPr>
                <w:rFonts w:ascii="Arial" w:hAnsi="Arial" w:cs="Arial"/>
                <w:lang w:val="lv-LV"/>
              </w:rPr>
              <w:t xml:space="preserve">Šo prasību var interpretēt tā, ka Dzelzceļa pārbrauktuvju vadības centra dežurantam jāpārbauda pārbrauktuves </w:t>
            </w:r>
            <w:r w:rsidRPr="00256143">
              <w:rPr>
                <w:rFonts w:ascii="Arial" w:hAnsi="Arial" w:cs="Arial"/>
                <w:b/>
                <w:bCs/>
                <w:lang w:val="lv-LV"/>
              </w:rPr>
              <w:t>vadības pultī</w:t>
            </w:r>
            <w:r w:rsidRPr="00256143">
              <w:rPr>
                <w:rFonts w:ascii="Arial" w:hAnsi="Arial" w:cs="Arial"/>
                <w:lang w:val="lv-LV"/>
              </w:rPr>
              <w:t>.</w:t>
            </w:r>
          </w:p>
          <w:p w14:paraId="79415AF3" w14:textId="77777777" w:rsidR="00311B4F" w:rsidRPr="00256143" w:rsidRDefault="00311B4F" w:rsidP="00311B4F">
            <w:pPr>
              <w:rPr>
                <w:rFonts w:ascii="Arial" w:hAnsi="Arial" w:cs="Arial"/>
                <w:lang w:val="lv-LV"/>
              </w:rPr>
            </w:pPr>
            <w:r w:rsidRPr="00256143">
              <w:rPr>
                <w:rFonts w:ascii="Arial" w:hAnsi="Arial" w:cs="Arial"/>
                <w:lang w:val="lv-LV"/>
              </w:rPr>
              <w:t>2.pielikums – Pasūtītāja prasības. Sadaļa 5.5.4.Pārbrauktuves vadības un kontroles ierīcēm jānodrošina šādu funkciju veikšana:</w:t>
            </w:r>
          </w:p>
          <w:p w14:paraId="5B4B18CF" w14:textId="77777777" w:rsidR="00311B4F" w:rsidRPr="00256143" w:rsidRDefault="00311B4F" w:rsidP="00311B4F">
            <w:pPr>
              <w:rPr>
                <w:rFonts w:ascii="Arial" w:hAnsi="Arial" w:cs="Arial"/>
                <w:lang w:val="lv-LV"/>
              </w:rPr>
            </w:pPr>
            <w:r w:rsidRPr="00256143">
              <w:rPr>
                <w:rFonts w:ascii="Arial" w:hAnsi="Arial" w:cs="Arial"/>
                <w:lang w:val="lv-LV"/>
              </w:rPr>
              <w:t>5.5.4.1.</w:t>
            </w:r>
            <w:r w:rsidRPr="00256143">
              <w:rPr>
                <w:rFonts w:ascii="Arial" w:hAnsi="Arial" w:cs="Arial"/>
                <w:lang w:val="lv-LV"/>
              </w:rPr>
              <w:tab/>
              <w:t>pārbrauktuves tuvošanās iecirkņu brīvības / aizņemšanas kontrole (PCD);</w:t>
            </w:r>
          </w:p>
          <w:p w14:paraId="6B0392D7" w14:textId="77777777" w:rsidR="00311B4F" w:rsidRPr="00256143" w:rsidRDefault="00311B4F" w:rsidP="00311B4F">
            <w:pPr>
              <w:rPr>
                <w:rFonts w:ascii="Arial" w:hAnsi="Arial" w:cs="Arial"/>
                <w:lang w:val="lv-LV"/>
              </w:rPr>
            </w:pPr>
            <w:r w:rsidRPr="00256143">
              <w:rPr>
                <w:rFonts w:ascii="Arial" w:hAnsi="Arial" w:cs="Arial"/>
                <w:lang w:val="lv-LV"/>
              </w:rPr>
              <w:t>5.5.4.2.</w:t>
            </w:r>
            <w:r w:rsidRPr="00256143">
              <w:rPr>
                <w:rFonts w:ascii="Arial" w:hAnsi="Arial" w:cs="Arial"/>
                <w:lang w:val="lv-LV"/>
              </w:rPr>
              <w:tab/>
              <w:t>pārbrauktuves slēgšana apkalpošanas laikā (PCD - pārbrauktuvju vadības centra dežurants);</w:t>
            </w:r>
          </w:p>
          <w:p w14:paraId="0325338D" w14:textId="77777777" w:rsidR="00311B4F" w:rsidRPr="00256143" w:rsidRDefault="00311B4F" w:rsidP="00311B4F">
            <w:pPr>
              <w:rPr>
                <w:rFonts w:ascii="Arial" w:hAnsi="Arial" w:cs="Arial"/>
                <w:lang w:val="lv-LV"/>
              </w:rPr>
            </w:pPr>
            <w:r w:rsidRPr="00256143">
              <w:rPr>
                <w:rFonts w:ascii="Arial" w:hAnsi="Arial" w:cs="Arial"/>
                <w:lang w:val="lv-LV"/>
              </w:rPr>
              <w:t>5.5.4.3.</w:t>
            </w:r>
            <w:r w:rsidRPr="00256143">
              <w:rPr>
                <w:rFonts w:ascii="Arial" w:hAnsi="Arial" w:cs="Arial"/>
                <w:lang w:val="lv-LV"/>
              </w:rPr>
              <w:tab/>
            </w:r>
            <w:proofErr w:type="spellStart"/>
            <w:r w:rsidRPr="00256143">
              <w:rPr>
                <w:rFonts w:ascii="Arial" w:hAnsi="Arial" w:cs="Arial"/>
                <w:lang w:val="lv-LV"/>
              </w:rPr>
              <w:t>aizsprostsignalizācijas</w:t>
            </w:r>
            <w:proofErr w:type="spellEnd"/>
            <w:r w:rsidRPr="00256143">
              <w:rPr>
                <w:rFonts w:ascii="Arial" w:hAnsi="Arial" w:cs="Arial"/>
                <w:lang w:val="lv-LV"/>
              </w:rPr>
              <w:t xml:space="preserve"> ieslēgšanas kontrole (ESD, TEM, PCD);</w:t>
            </w:r>
          </w:p>
          <w:p w14:paraId="45375C00" w14:textId="77777777" w:rsidR="00311B4F" w:rsidRPr="00256143" w:rsidRDefault="00311B4F" w:rsidP="00311B4F">
            <w:pPr>
              <w:rPr>
                <w:rFonts w:ascii="Arial" w:hAnsi="Arial" w:cs="Arial"/>
                <w:lang w:val="lv-LV"/>
              </w:rPr>
            </w:pPr>
            <w:r w:rsidRPr="00256143">
              <w:rPr>
                <w:rFonts w:ascii="Arial" w:hAnsi="Arial" w:cs="Arial"/>
                <w:lang w:val="lv-LV"/>
              </w:rPr>
              <w:t>5.5.4.4.</w:t>
            </w:r>
            <w:r w:rsidRPr="00256143">
              <w:rPr>
                <w:rFonts w:ascii="Arial" w:hAnsi="Arial" w:cs="Arial"/>
                <w:lang w:val="lv-LV"/>
              </w:rPr>
              <w:tab/>
              <w:t>pārbrauktuves atvēršana ar speciālu komandu sliežu ķēdes bojājuma gadījumā (PCD);</w:t>
            </w:r>
          </w:p>
          <w:p w14:paraId="77D1332E" w14:textId="77777777" w:rsidR="00311B4F" w:rsidRPr="00256143" w:rsidRDefault="00311B4F" w:rsidP="00311B4F">
            <w:pPr>
              <w:rPr>
                <w:rFonts w:ascii="Arial" w:hAnsi="Arial" w:cs="Arial"/>
                <w:lang w:val="lv-LV"/>
              </w:rPr>
            </w:pPr>
            <w:r w:rsidRPr="00256143">
              <w:rPr>
                <w:rFonts w:ascii="Arial" w:hAnsi="Arial" w:cs="Arial"/>
                <w:lang w:val="lv-LV"/>
              </w:rPr>
              <w:t>5.5.4.5.</w:t>
            </w:r>
            <w:r w:rsidRPr="00256143">
              <w:rPr>
                <w:rFonts w:ascii="Arial" w:hAnsi="Arial" w:cs="Arial"/>
                <w:lang w:val="lv-LV"/>
              </w:rPr>
              <w:tab/>
              <w:t>pārbrauktuves luksoforu signalizācijas ieslēgšana (PCD, ESD);</w:t>
            </w:r>
          </w:p>
          <w:p w14:paraId="2FA571FC" w14:textId="77777777" w:rsidR="00311B4F" w:rsidRPr="00256143" w:rsidRDefault="00311B4F" w:rsidP="00311B4F">
            <w:pPr>
              <w:rPr>
                <w:rFonts w:ascii="Arial" w:hAnsi="Arial" w:cs="Arial"/>
                <w:lang w:val="lv-LV"/>
              </w:rPr>
            </w:pPr>
            <w:r w:rsidRPr="00256143">
              <w:rPr>
                <w:rFonts w:ascii="Arial" w:hAnsi="Arial" w:cs="Arial"/>
                <w:lang w:val="lv-LV"/>
              </w:rPr>
              <w:t>5.5.4.6.</w:t>
            </w:r>
            <w:r w:rsidRPr="00256143">
              <w:rPr>
                <w:rFonts w:ascii="Arial" w:hAnsi="Arial" w:cs="Arial"/>
                <w:lang w:val="lv-LV"/>
              </w:rPr>
              <w:tab/>
              <w:t xml:space="preserve">barjeras brusas nolaišanas uz leju </w:t>
            </w:r>
            <w:proofErr w:type="spellStart"/>
            <w:r w:rsidRPr="00256143">
              <w:rPr>
                <w:rFonts w:ascii="Arial" w:hAnsi="Arial" w:cs="Arial"/>
                <w:lang w:val="lv-LV"/>
              </w:rPr>
              <w:t>aizkave</w:t>
            </w:r>
            <w:proofErr w:type="spellEnd"/>
            <w:r w:rsidRPr="00256143">
              <w:rPr>
                <w:rFonts w:ascii="Arial" w:hAnsi="Arial" w:cs="Arial"/>
                <w:lang w:val="lv-LV"/>
              </w:rPr>
              <w:t>, ja pārbrauktuvi šķērso kravas automobilis ar piekabi vai puspiekabi (PCD);</w:t>
            </w:r>
          </w:p>
          <w:p w14:paraId="79129733" w14:textId="77777777" w:rsidR="00311B4F" w:rsidRPr="00256143" w:rsidRDefault="00311B4F" w:rsidP="00311B4F">
            <w:pPr>
              <w:rPr>
                <w:rFonts w:ascii="Arial" w:hAnsi="Arial" w:cs="Arial"/>
                <w:lang w:val="lv-LV"/>
              </w:rPr>
            </w:pPr>
            <w:r w:rsidRPr="00256143">
              <w:rPr>
                <w:rFonts w:ascii="Arial" w:hAnsi="Arial" w:cs="Arial"/>
                <w:lang w:val="lv-LV"/>
              </w:rPr>
              <w:t>5.5.4.7.</w:t>
            </w:r>
            <w:r w:rsidRPr="00256143">
              <w:rPr>
                <w:rFonts w:ascii="Arial" w:hAnsi="Arial" w:cs="Arial"/>
                <w:lang w:val="lv-LV"/>
              </w:rPr>
              <w:tab/>
              <w:t>barjeras stāvokļa pārbaude (uz augšu vai uz leju) (ESD, TEM, PCD);</w:t>
            </w:r>
          </w:p>
          <w:p w14:paraId="593F8ABE" w14:textId="77777777" w:rsidR="00311B4F" w:rsidRPr="00256143" w:rsidRDefault="00311B4F" w:rsidP="00311B4F">
            <w:pPr>
              <w:rPr>
                <w:rFonts w:ascii="Arial" w:hAnsi="Arial" w:cs="Arial"/>
                <w:lang w:val="lv-LV"/>
              </w:rPr>
            </w:pPr>
            <w:r w:rsidRPr="00256143">
              <w:rPr>
                <w:rFonts w:ascii="Arial" w:hAnsi="Arial" w:cs="Arial"/>
                <w:lang w:val="lv-LV"/>
              </w:rPr>
              <w:t>5.5.4.8.</w:t>
            </w:r>
            <w:r w:rsidRPr="00256143">
              <w:rPr>
                <w:rFonts w:ascii="Arial" w:hAnsi="Arial" w:cs="Arial"/>
                <w:lang w:val="lv-LV"/>
              </w:rPr>
              <w:tab/>
              <w:t>Monitoringa sistēmai jānodrošina vismaz sekojošo bojājumu diagnostika:</w:t>
            </w:r>
          </w:p>
          <w:p w14:paraId="75BA87BE" w14:textId="77777777" w:rsidR="00311B4F" w:rsidRPr="00256143" w:rsidRDefault="00311B4F" w:rsidP="00311B4F">
            <w:pPr>
              <w:rPr>
                <w:rFonts w:ascii="Arial" w:hAnsi="Arial" w:cs="Arial"/>
                <w:lang w:val="lv-LV"/>
              </w:rPr>
            </w:pPr>
            <w:r w:rsidRPr="00256143">
              <w:rPr>
                <w:rFonts w:ascii="Arial" w:hAnsi="Arial" w:cs="Arial"/>
                <w:lang w:val="lv-LV"/>
              </w:rPr>
              <w:t>5.5.4.8.1.</w:t>
            </w:r>
            <w:r w:rsidRPr="00256143">
              <w:rPr>
                <w:rFonts w:ascii="Arial" w:hAnsi="Arial" w:cs="Arial"/>
                <w:lang w:val="lv-LV"/>
              </w:rPr>
              <w:tab/>
              <w:t>maiņstrāvas un/vai līdzstrāvas spieguma izslēgšana vai pārsniedz noteikto līmeni (ESD, TEM, PCD);</w:t>
            </w:r>
          </w:p>
          <w:p w14:paraId="0FF6735F" w14:textId="77777777" w:rsidR="00311B4F" w:rsidRPr="00256143" w:rsidRDefault="00311B4F" w:rsidP="00311B4F">
            <w:pPr>
              <w:rPr>
                <w:rFonts w:ascii="Arial" w:hAnsi="Arial" w:cs="Arial"/>
                <w:lang w:val="lv-LV"/>
              </w:rPr>
            </w:pPr>
            <w:r w:rsidRPr="00256143">
              <w:rPr>
                <w:rFonts w:ascii="Arial" w:hAnsi="Arial" w:cs="Arial"/>
                <w:lang w:val="lv-LV"/>
              </w:rPr>
              <w:t>5.5.4.8.2.</w:t>
            </w:r>
            <w:r w:rsidRPr="00256143">
              <w:rPr>
                <w:rFonts w:ascii="Arial" w:hAnsi="Arial" w:cs="Arial"/>
                <w:lang w:val="lv-LV"/>
              </w:rPr>
              <w:tab/>
              <w:t>luksoforu katra gaismas diožu (LED) komplekta bojājums (ESD, TEM, PCD);</w:t>
            </w:r>
          </w:p>
          <w:p w14:paraId="7CB4B3FD" w14:textId="77777777" w:rsidR="00311B4F" w:rsidRPr="00256143" w:rsidRDefault="00311B4F" w:rsidP="00311B4F">
            <w:pPr>
              <w:rPr>
                <w:rFonts w:ascii="Arial" w:hAnsi="Arial" w:cs="Arial"/>
                <w:lang w:val="lv-LV"/>
              </w:rPr>
            </w:pPr>
            <w:r w:rsidRPr="00256143">
              <w:rPr>
                <w:rFonts w:ascii="Arial" w:hAnsi="Arial" w:cs="Arial"/>
                <w:lang w:val="lv-LV"/>
              </w:rPr>
              <w:t>5.5.4.8.3.</w:t>
            </w:r>
            <w:r w:rsidRPr="00256143">
              <w:rPr>
                <w:rFonts w:ascii="Arial" w:hAnsi="Arial" w:cs="Arial"/>
                <w:lang w:val="lv-LV"/>
              </w:rPr>
              <w:tab/>
              <w:t>brīdinājuma skaņas signāla iekārta nedarbojas pareizi (ESD, TEM, PCD) ;</w:t>
            </w:r>
          </w:p>
          <w:p w14:paraId="3B69DEC1" w14:textId="77777777" w:rsidR="00311B4F" w:rsidRPr="00256143" w:rsidRDefault="00311B4F" w:rsidP="00311B4F">
            <w:pPr>
              <w:rPr>
                <w:rFonts w:ascii="Arial" w:hAnsi="Arial" w:cs="Arial"/>
                <w:lang w:val="lv-LV"/>
              </w:rPr>
            </w:pPr>
            <w:r w:rsidRPr="00256143">
              <w:rPr>
                <w:rFonts w:ascii="Arial" w:hAnsi="Arial" w:cs="Arial"/>
                <w:lang w:val="lv-LV"/>
              </w:rPr>
              <w:t>5.5.4.8.4.</w:t>
            </w:r>
            <w:r w:rsidRPr="00256143">
              <w:rPr>
                <w:rFonts w:ascii="Arial" w:hAnsi="Arial" w:cs="Arial"/>
                <w:lang w:val="lv-LV"/>
              </w:rPr>
              <w:tab/>
              <w:t>luksofora gaismas diožu (LED) mirgošanas režīms nedarbojas pareizi (ESD, TEM, PCD);</w:t>
            </w:r>
          </w:p>
          <w:p w14:paraId="6793770A" w14:textId="77777777" w:rsidR="00311B4F" w:rsidRPr="00256143" w:rsidRDefault="00311B4F" w:rsidP="00311B4F">
            <w:pPr>
              <w:rPr>
                <w:rFonts w:ascii="Arial" w:hAnsi="Arial" w:cs="Arial"/>
                <w:lang w:val="lv-LV"/>
              </w:rPr>
            </w:pPr>
            <w:r w:rsidRPr="00256143">
              <w:rPr>
                <w:rFonts w:ascii="Arial" w:hAnsi="Arial" w:cs="Arial"/>
                <w:lang w:val="lv-LV"/>
              </w:rPr>
              <w:t>5.5.4.8.5.</w:t>
            </w:r>
            <w:r w:rsidRPr="00256143">
              <w:rPr>
                <w:rFonts w:ascii="Arial" w:hAnsi="Arial" w:cs="Arial"/>
                <w:lang w:val="lv-LV"/>
              </w:rPr>
              <w:tab/>
              <w:t>tuvošanās iecirknis ir aizņemts ilgāk par noteiktu laika limitu (PCD);</w:t>
            </w:r>
          </w:p>
          <w:p w14:paraId="1F4AAE2D" w14:textId="77777777" w:rsidR="00311B4F" w:rsidRPr="00256143" w:rsidRDefault="00311B4F" w:rsidP="00311B4F">
            <w:pPr>
              <w:rPr>
                <w:rFonts w:ascii="Arial" w:hAnsi="Arial" w:cs="Arial"/>
                <w:lang w:val="lv-LV"/>
              </w:rPr>
            </w:pPr>
            <w:r w:rsidRPr="00256143">
              <w:rPr>
                <w:rFonts w:ascii="Arial" w:hAnsi="Arial" w:cs="Arial"/>
                <w:lang w:val="lv-LV"/>
              </w:rPr>
              <w:t>5.5.4.8.6.</w:t>
            </w:r>
            <w:r w:rsidRPr="00256143">
              <w:rPr>
                <w:rFonts w:ascii="Arial" w:hAnsi="Arial" w:cs="Arial"/>
                <w:lang w:val="lv-LV"/>
              </w:rPr>
              <w:tab/>
              <w:t>vadības shēmu darbības traucējumi (ESD, TEM, PCD);</w:t>
            </w:r>
          </w:p>
          <w:p w14:paraId="0F08AB46" w14:textId="77777777" w:rsidR="00311B4F" w:rsidRPr="00256143" w:rsidRDefault="00311B4F" w:rsidP="00311B4F">
            <w:pPr>
              <w:rPr>
                <w:rFonts w:ascii="Arial" w:hAnsi="Arial" w:cs="Arial"/>
                <w:lang w:val="lv-LV"/>
              </w:rPr>
            </w:pPr>
            <w:r w:rsidRPr="00256143">
              <w:rPr>
                <w:rFonts w:ascii="Arial" w:hAnsi="Arial" w:cs="Arial"/>
                <w:lang w:val="lv-LV"/>
              </w:rPr>
              <w:t>5.5.4.8.7.</w:t>
            </w:r>
            <w:r w:rsidRPr="00256143">
              <w:rPr>
                <w:rFonts w:ascii="Arial" w:hAnsi="Arial" w:cs="Arial"/>
                <w:lang w:val="lv-LV"/>
              </w:rPr>
              <w:tab/>
            </w:r>
            <w:proofErr w:type="spellStart"/>
            <w:r w:rsidRPr="00256143">
              <w:rPr>
                <w:rFonts w:ascii="Arial" w:hAnsi="Arial" w:cs="Arial"/>
                <w:lang w:val="lv-LV"/>
              </w:rPr>
              <w:t>aizsprostluksoforu</w:t>
            </w:r>
            <w:proofErr w:type="spellEnd"/>
            <w:r w:rsidRPr="00256143">
              <w:rPr>
                <w:rFonts w:ascii="Arial" w:hAnsi="Arial" w:cs="Arial"/>
                <w:lang w:val="lv-LV"/>
              </w:rPr>
              <w:t xml:space="preserve"> (ja tādi ir) darbības traucējumi (ESD, TEM, PCD);</w:t>
            </w:r>
          </w:p>
          <w:p w14:paraId="5A9F5560" w14:textId="77777777" w:rsidR="00311B4F" w:rsidRPr="00256143" w:rsidRDefault="00311B4F" w:rsidP="00311B4F">
            <w:pPr>
              <w:rPr>
                <w:rFonts w:ascii="Arial" w:hAnsi="Arial" w:cs="Arial"/>
                <w:lang w:val="lv-LV"/>
              </w:rPr>
            </w:pPr>
            <w:r w:rsidRPr="00256143">
              <w:rPr>
                <w:rFonts w:ascii="Arial" w:hAnsi="Arial" w:cs="Arial"/>
                <w:lang w:val="lv-LV"/>
              </w:rPr>
              <w:t>5.5.4.8.8.</w:t>
            </w:r>
            <w:r w:rsidRPr="00256143">
              <w:rPr>
                <w:rFonts w:ascii="Arial" w:hAnsi="Arial" w:cs="Arial"/>
                <w:lang w:val="lv-LV"/>
              </w:rPr>
              <w:tab/>
              <w:t>katras atsevišķās barjeras darbības traucējumi (ESD, TEM, PCD);</w:t>
            </w:r>
          </w:p>
          <w:p w14:paraId="3F5D32C8" w14:textId="2D9B1F84" w:rsidR="00311B4F" w:rsidRPr="00256143" w:rsidRDefault="00311B4F" w:rsidP="00311B4F">
            <w:pPr>
              <w:rPr>
                <w:rFonts w:ascii="Arial" w:hAnsi="Arial" w:cs="Arial"/>
                <w:lang w:val="lv-LV"/>
              </w:rPr>
            </w:pPr>
            <w:r w:rsidRPr="00256143">
              <w:rPr>
                <w:rFonts w:ascii="Arial" w:hAnsi="Arial" w:cs="Arial"/>
                <w:lang w:val="lv-LV"/>
              </w:rPr>
              <w:t>5.5.4.8.9.</w:t>
            </w:r>
            <w:r w:rsidRPr="00256143">
              <w:rPr>
                <w:rFonts w:ascii="Arial" w:hAnsi="Arial" w:cs="Arial"/>
                <w:lang w:val="lv-LV"/>
              </w:rPr>
              <w:tab/>
              <w:t>neatļauta piekļuve pārbrauktuves skapim (ESD, TEM, PCD).</w:t>
            </w:r>
          </w:p>
        </w:tc>
      </w:tr>
      <w:tr w:rsidR="00311B4F" w:rsidRPr="00B54FF6" w14:paraId="5ED7F85C" w14:textId="77777777" w:rsidTr="003351AE">
        <w:trPr>
          <w:trHeight w:val="278"/>
          <w:jc w:val="center"/>
        </w:trPr>
        <w:tc>
          <w:tcPr>
            <w:tcW w:w="5807" w:type="dxa"/>
            <w:tcBorders>
              <w:top w:val="single" w:sz="4" w:space="0" w:color="auto"/>
              <w:left w:val="single" w:sz="4" w:space="0" w:color="auto"/>
              <w:bottom w:val="single" w:sz="4" w:space="0" w:color="auto"/>
              <w:right w:val="single" w:sz="4" w:space="0" w:color="auto"/>
            </w:tcBorders>
          </w:tcPr>
          <w:p w14:paraId="3CF5092F" w14:textId="100915DA" w:rsidR="00311B4F" w:rsidRPr="00256143" w:rsidRDefault="00311B4F" w:rsidP="00311B4F">
            <w:pPr>
              <w:pStyle w:val="mt-translation"/>
              <w:numPr>
                <w:ilvl w:val="0"/>
                <w:numId w:val="17"/>
              </w:numPr>
              <w:spacing w:before="0" w:beforeAutospacing="0" w:after="0" w:afterAutospacing="0"/>
              <w:ind w:left="0" w:firstLine="0"/>
              <w:jc w:val="left"/>
              <w:rPr>
                <w:rFonts w:ascii="Arial" w:eastAsia="Times New Roman" w:hAnsi="Arial" w:cs="Arial"/>
                <w:color w:val="auto"/>
                <w:sz w:val="20"/>
                <w:szCs w:val="20"/>
                <w:lang w:eastAsia="ru-RU"/>
              </w:rPr>
            </w:pPr>
            <w:r w:rsidRPr="00256143">
              <w:rPr>
                <w:rFonts w:ascii="Arial" w:eastAsia="Times New Roman" w:hAnsi="Arial" w:cs="Arial"/>
                <w:sz w:val="20"/>
                <w:szCs w:val="20"/>
                <w:lang w:eastAsia="ru-RU"/>
              </w:rPr>
              <w:t>Lūgums precizēt, vai ADV TEM ir mehānika vieta Dobeles stacijā vai elektrotehnisko iekārtu MPC, MPDC inženieru tehnoloģiskā iecirkņa maiņas darbinieka vieta?</w:t>
            </w:r>
          </w:p>
        </w:tc>
        <w:tc>
          <w:tcPr>
            <w:tcW w:w="3969" w:type="dxa"/>
            <w:tcBorders>
              <w:left w:val="single" w:sz="4" w:space="0" w:color="auto"/>
              <w:bottom w:val="single" w:sz="4" w:space="0" w:color="auto"/>
              <w:right w:val="single" w:sz="4" w:space="0" w:color="auto"/>
            </w:tcBorders>
          </w:tcPr>
          <w:p w14:paraId="1F6E2040" w14:textId="3314C40D" w:rsidR="00311B4F" w:rsidRPr="00256143" w:rsidRDefault="00311B4F" w:rsidP="00311B4F">
            <w:pPr>
              <w:rPr>
                <w:rFonts w:ascii="Arial" w:hAnsi="Arial" w:cs="Arial"/>
                <w:lang w:val="lv-LV"/>
              </w:rPr>
            </w:pPr>
            <w:r w:rsidRPr="00256143">
              <w:rPr>
                <w:rFonts w:ascii="Arial" w:hAnsi="Arial" w:cs="Arial"/>
                <w:lang w:val="lv-LV"/>
              </w:rPr>
              <w:t xml:space="preserve">23. Atbilstoši Nolikuma 2.pielikuma tabulas Nr.2 prasībām Projekta realizācijas ietvaros nodrošināt </w:t>
            </w:r>
            <w:r w:rsidRPr="00256143">
              <w:rPr>
                <w:rFonts w:ascii="Arial" w:hAnsi="Arial" w:cs="Arial"/>
                <w:lang w:val="lv-LV" w:eastAsia="ru-RU"/>
              </w:rPr>
              <w:t>mehānika ADV TEM darba vietu Dobeles stacijā un elektrotehnisko iekārtu MPC, MPDC inženieru tehnoloģiskā iecirkņa maiņas darbinieka ADV darba vietu (Jelgava, Stacijas 3c).</w:t>
            </w:r>
          </w:p>
        </w:tc>
      </w:tr>
    </w:tbl>
    <w:p w14:paraId="0126A32C" w14:textId="77777777" w:rsidR="000A2ABC" w:rsidRPr="00256143" w:rsidRDefault="000A2ABC" w:rsidP="000A2ABC">
      <w:pPr>
        <w:rPr>
          <w:rFonts w:ascii="Arial" w:hAnsi="Arial" w:cs="Arial"/>
          <w:lang w:val="lv-LV"/>
        </w:rPr>
      </w:pPr>
    </w:p>
    <w:p w14:paraId="7C84F623" w14:textId="68DF79F8" w:rsidR="0098236C" w:rsidRPr="00256143" w:rsidRDefault="0098236C" w:rsidP="000A2ABC">
      <w:pPr>
        <w:rPr>
          <w:lang w:val="lv-LV"/>
        </w:rPr>
      </w:pPr>
    </w:p>
    <w:sectPr w:rsidR="0098236C" w:rsidRPr="002561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BFC"/>
    <w:multiLevelType w:val="hybridMultilevel"/>
    <w:tmpl w:val="B31483F8"/>
    <w:lvl w:ilvl="0" w:tplc="DC961CF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9422A"/>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334855"/>
    <w:multiLevelType w:val="hybridMultilevel"/>
    <w:tmpl w:val="451CCE00"/>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2CFD2604"/>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FF03E52"/>
    <w:multiLevelType w:val="hybridMultilevel"/>
    <w:tmpl w:val="24868E1E"/>
    <w:lvl w:ilvl="0" w:tplc="A556859C">
      <w:start w:val="23"/>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CF734C"/>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D1D349D"/>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EA46213"/>
    <w:multiLevelType w:val="hybridMultilevel"/>
    <w:tmpl w:val="A0C29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205A47"/>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A35CE3"/>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B977011"/>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1EB0AE7"/>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F053DB4"/>
    <w:multiLevelType w:val="hybridMultilevel"/>
    <w:tmpl w:val="FBF457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2"/>
  </w:num>
  <w:num w:numId="8">
    <w:abstractNumId w:val="11"/>
  </w:num>
  <w:num w:numId="9">
    <w:abstractNumId w:val="8"/>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3"/>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27DE3"/>
    <w:rsid w:val="000A2ABC"/>
    <w:rsid w:val="00151C88"/>
    <w:rsid w:val="00256143"/>
    <w:rsid w:val="002C6AA9"/>
    <w:rsid w:val="00311B4F"/>
    <w:rsid w:val="003204EA"/>
    <w:rsid w:val="003351AE"/>
    <w:rsid w:val="003747A8"/>
    <w:rsid w:val="003D373F"/>
    <w:rsid w:val="004E1B12"/>
    <w:rsid w:val="004F6657"/>
    <w:rsid w:val="007013A1"/>
    <w:rsid w:val="008E7936"/>
    <w:rsid w:val="008F28D2"/>
    <w:rsid w:val="0098236C"/>
    <w:rsid w:val="00B54FF6"/>
    <w:rsid w:val="00C20434"/>
    <w:rsid w:val="00CC7E74"/>
    <w:rsid w:val="00DA0716"/>
    <w:rsid w:val="00E31ED0"/>
    <w:rsid w:val="00E5580B"/>
    <w:rsid w:val="00EA7A87"/>
    <w:rsid w:val="00F13663"/>
    <w:rsid w:val="00FC0D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7013A1"/>
    <w:rPr>
      <w:rFonts w:ascii="Times New Roman" w:eastAsia="Times New Roman" w:hAnsi="Times New Roman" w:cs="Times New Roman"/>
      <w:sz w:val="24"/>
      <w:szCs w:val="24"/>
      <w:lang w:val="en-GB"/>
    </w:rPr>
  </w:style>
  <w:style w:type="paragraph" w:customStyle="1" w:styleId="Text">
    <w:name w:val="Text"/>
    <w:basedOn w:val="Normal"/>
    <w:rsid w:val="00EA7A87"/>
    <w:pPr>
      <w:spacing w:line="252" w:lineRule="atLeast"/>
    </w:pPr>
    <w:rPr>
      <w:rFonts w:ascii="Calibri" w:eastAsiaTheme="minorHAnsi" w:hAnsi="Calibri" w:cs="Calibri"/>
      <w:sz w:val="22"/>
      <w:szCs w:val="22"/>
      <w:lang w:val="lv-LV" w:eastAsia="en-US"/>
    </w:rPr>
  </w:style>
  <w:style w:type="paragraph" w:customStyle="1" w:styleId="mt-translation">
    <w:name w:val="mt-translation"/>
    <w:basedOn w:val="Normal"/>
    <w:rsid w:val="00CC7E74"/>
    <w:pPr>
      <w:spacing w:before="100" w:beforeAutospacing="1" w:after="100" w:afterAutospacing="1"/>
    </w:pPr>
    <w:rPr>
      <w:rFonts w:eastAsiaTheme="minorHAnsi"/>
      <w:color w:val="000000"/>
      <w:sz w:val="24"/>
      <w:szCs w:val="24"/>
      <w:lang w:val="lv-LV"/>
    </w:rPr>
  </w:style>
  <w:style w:type="paragraph" w:customStyle="1" w:styleId="tv213">
    <w:name w:val="tv213"/>
    <w:basedOn w:val="Normal"/>
    <w:rsid w:val="003747A8"/>
    <w:pPr>
      <w:spacing w:before="100" w:beforeAutospacing="1" w:after="100" w:afterAutospacing="1"/>
    </w:pPr>
    <w:rPr>
      <w:rFonts w:ascii="Calibri" w:eastAsiaTheme="minorHAnsi" w:hAnsi="Calibri" w:cs="Calibri"/>
      <w:sz w:val="22"/>
      <w:szCs w:val="22"/>
      <w:lang w:val="lv-LV"/>
    </w:rPr>
  </w:style>
  <w:style w:type="character" w:styleId="CommentReference">
    <w:name w:val="annotation reference"/>
    <w:basedOn w:val="DefaultParagraphFont"/>
    <w:uiPriority w:val="99"/>
    <w:semiHidden/>
    <w:unhideWhenUsed/>
    <w:rsid w:val="003D373F"/>
    <w:rPr>
      <w:sz w:val="16"/>
      <w:szCs w:val="16"/>
    </w:rPr>
  </w:style>
  <w:style w:type="paragraph" w:styleId="CommentText">
    <w:name w:val="annotation text"/>
    <w:basedOn w:val="Normal"/>
    <w:link w:val="CommentTextChar"/>
    <w:uiPriority w:val="99"/>
    <w:semiHidden/>
    <w:unhideWhenUsed/>
    <w:rsid w:val="003D373F"/>
  </w:style>
  <w:style w:type="character" w:customStyle="1" w:styleId="CommentTextChar">
    <w:name w:val="Comment Text Char"/>
    <w:basedOn w:val="DefaultParagraphFont"/>
    <w:link w:val="CommentText"/>
    <w:uiPriority w:val="99"/>
    <w:semiHidden/>
    <w:rsid w:val="003D373F"/>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3D373F"/>
    <w:rPr>
      <w:b/>
      <w:bCs/>
    </w:rPr>
  </w:style>
  <w:style w:type="character" w:customStyle="1" w:styleId="CommentSubjectChar">
    <w:name w:val="Comment Subject Char"/>
    <w:basedOn w:val="CommentTextChar"/>
    <w:link w:val="CommentSubject"/>
    <w:uiPriority w:val="99"/>
    <w:semiHidden/>
    <w:rsid w:val="003D373F"/>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0527">
      <w:bodyDiv w:val="1"/>
      <w:marLeft w:val="0"/>
      <w:marRight w:val="0"/>
      <w:marTop w:val="0"/>
      <w:marBottom w:val="0"/>
      <w:divBdr>
        <w:top w:val="none" w:sz="0" w:space="0" w:color="auto"/>
        <w:left w:val="none" w:sz="0" w:space="0" w:color="auto"/>
        <w:bottom w:val="none" w:sz="0" w:space="0" w:color="auto"/>
        <w:right w:val="none" w:sz="0" w:space="0" w:color="auto"/>
      </w:divBdr>
    </w:div>
    <w:div w:id="97258069">
      <w:bodyDiv w:val="1"/>
      <w:marLeft w:val="0"/>
      <w:marRight w:val="0"/>
      <w:marTop w:val="0"/>
      <w:marBottom w:val="0"/>
      <w:divBdr>
        <w:top w:val="none" w:sz="0" w:space="0" w:color="auto"/>
        <w:left w:val="none" w:sz="0" w:space="0" w:color="auto"/>
        <w:bottom w:val="none" w:sz="0" w:space="0" w:color="auto"/>
        <w:right w:val="none" w:sz="0" w:space="0" w:color="auto"/>
      </w:divBdr>
    </w:div>
    <w:div w:id="296109249">
      <w:bodyDiv w:val="1"/>
      <w:marLeft w:val="0"/>
      <w:marRight w:val="0"/>
      <w:marTop w:val="0"/>
      <w:marBottom w:val="0"/>
      <w:divBdr>
        <w:top w:val="none" w:sz="0" w:space="0" w:color="auto"/>
        <w:left w:val="none" w:sz="0" w:space="0" w:color="auto"/>
        <w:bottom w:val="none" w:sz="0" w:space="0" w:color="auto"/>
        <w:right w:val="none" w:sz="0" w:space="0" w:color="auto"/>
      </w:divBdr>
    </w:div>
    <w:div w:id="323897840">
      <w:bodyDiv w:val="1"/>
      <w:marLeft w:val="0"/>
      <w:marRight w:val="0"/>
      <w:marTop w:val="0"/>
      <w:marBottom w:val="0"/>
      <w:divBdr>
        <w:top w:val="none" w:sz="0" w:space="0" w:color="auto"/>
        <w:left w:val="none" w:sz="0" w:space="0" w:color="auto"/>
        <w:bottom w:val="none" w:sz="0" w:space="0" w:color="auto"/>
        <w:right w:val="none" w:sz="0" w:space="0" w:color="auto"/>
      </w:divBdr>
    </w:div>
    <w:div w:id="339240571">
      <w:bodyDiv w:val="1"/>
      <w:marLeft w:val="0"/>
      <w:marRight w:val="0"/>
      <w:marTop w:val="0"/>
      <w:marBottom w:val="0"/>
      <w:divBdr>
        <w:top w:val="none" w:sz="0" w:space="0" w:color="auto"/>
        <w:left w:val="none" w:sz="0" w:space="0" w:color="auto"/>
        <w:bottom w:val="none" w:sz="0" w:space="0" w:color="auto"/>
        <w:right w:val="none" w:sz="0" w:space="0" w:color="auto"/>
      </w:divBdr>
    </w:div>
    <w:div w:id="447547419">
      <w:bodyDiv w:val="1"/>
      <w:marLeft w:val="0"/>
      <w:marRight w:val="0"/>
      <w:marTop w:val="0"/>
      <w:marBottom w:val="0"/>
      <w:divBdr>
        <w:top w:val="none" w:sz="0" w:space="0" w:color="auto"/>
        <w:left w:val="none" w:sz="0" w:space="0" w:color="auto"/>
        <w:bottom w:val="none" w:sz="0" w:space="0" w:color="auto"/>
        <w:right w:val="none" w:sz="0" w:space="0" w:color="auto"/>
      </w:divBdr>
    </w:div>
    <w:div w:id="449512825">
      <w:bodyDiv w:val="1"/>
      <w:marLeft w:val="0"/>
      <w:marRight w:val="0"/>
      <w:marTop w:val="0"/>
      <w:marBottom w:val="0"/>
      <w:divBdr>
        <w:top w:val="none" w:sz="0" w:space="0" w:color="auto"/>
        <w:left w:val="none" w:sz="0" w:space="0" w:color="auto"/>
        <w:bottom w:val="none" w:sz="0" w:space="0" w:color="auto"/>
        <w:right w:val="none" w:sz="0" w:space="0" w:color="auto"/>
      </w:divBdr>
    </w:div>
    <w:div w:id="449711879">
      <w:bodyDiv w:val="1"/>
      <w:marLeft w:val="0"/>
      <w:marRight w:val="0"/>
      <w:marTop w:val="0"/>
      <w:marBottom w:val="0"/>
      <w:divBdr>
        <w:top w:val="none" w:sz="0" w:space="0" w:color="auto"/>
        <w:left w:val="none" w:sz="0" w:space="0" w:color="auto"/>
        <w:bottom w:val="none" w:sz="0" w:space="0" w:color="auto"/>
        <w:right w:val="none" w:sz="0" w:space="0" w:color="auto"/>
      </w:divBdr>
    </w:div>
    <w:div w:id="589196562">
      <w:bodyDiv w:val="1"/>
      <w:marLeft w:val="0"/>
      <w:marRight w:val="0"/>
      <w:marTop w:val="0"/>
      <w:marBottom w:val="0"/>
      <w:divBdr>
        <w:top w:val="none" w:sz="0" w:space="0" w:color="auto"/>
        <w:left w:val="none" w:sz="0" w:space="0" w:color="auto"/>
        <w:bottom w:val="none" w:sz="0" w:space="0" w:color="auto"/>
        <w:right w:val="none" w:sz="0" w:space="0" w:color="auto"/>
      </w:divBdr>
    </w:div>
    <w:div w:id="593980100">
      <w:bodyDiv w:val="1"/>
      <w:marLeft w:val="0"/>
      <w:marRight w:val="0"/>
      <w:marTop w:val="0"/>
      <w:marBottom w:val="0"/>
      <w:divBdr>
        <w:top w:val="none" w:sz="0" w:space="0" w:color="auto"/>
        <w:left w:val="none" w:sz="0" w:space="0" w:color="auto"/>
        <w:bottom w:val="none" w:sz="0" w:space="0" w:color="auto"/>
        <w:right w:val="none" w:sz="0" w:space="0" w:color="auto"/>
      </w:divBdr>
    </w:div>
    <w:div w:id="719279444">
      <w:bodyDiv w:val="1"/>
      <w:marLeft w:val="0"/>
      <w:marRight w:val="0"/>
      <w:marTop w:val="0"/>
      <w:marBottom w:val="0"/>
      <w:divBdr>
        <w:top w:val="none" w:sz="0" w:space="0" w:color="auto"/>
        <w:left w:val="none" w:sz="0" w:space="0" w:color="auto"/>
        <w:bottom w:val="none" w:sz="0" w:space="0" w:color="auto"/>
        <w:right w:val="none" w:sz="0" w:space="0" w:color="auto"/>
      </w:divBdr>
    </w:div>
    <w:div w:id="884413287">
      <w:bodyDiv w:val="1"/>
      <w:marLeft w:val="0"/>
      <w:marRight w:val="0"/>
      <w:marTop w:val="0"/>
      <w:marBottom w:val="0"/>
      <w:divBdr>
        <w:top w:val="none" w:sz="0" w:space="0" w:color="auto"/>
        <w:left w:val="none" w:sz="0" w:space="0" w:color="auto"/>
        <w:bottom w:val="none" w:sz="0" w:space="0" w:color="auto"/>
        <w:right w:val="none" w:sz="0" w:space="0" w:color="auto"/>
      </w:divBdr>
    </w:div>
    <w:div w:id="924607832">
      <w:bodyDiv w:val="1"/>
      <w:marLeft w:val="0"/>
      <w:marRight w:val="0"/>
      <w:marTop w:val="0"/>
      <w:marBottom w:val="0"/>
      <w:divBdr>
        <w:top w:val="none" w:sz="0" w:space="0" w:color="auto"/>
        <w:left w:val="none" w:sz="0" w:space="0" w:color="auto"/>
        <w:bottom w:val="none" w:sz="0" w:space="0" w:color="auto"/>
        <w:right w:val="none" w:sz="0" w:space="0" w:color="auto"/>
      </w:divBdr>
    </w:div>
    <w:div w:id="1180663286">
      <w:bodyDiv w:val="1"/>
      <w:marLeft w:val="0"/>
      <w:marRight w:val="0"/>
      <w:marTop w:val="0"/>
      <w:marBottom w:val="0"/>
      <w:divBdr>
        <w:top w:val="none" w:sz="0" w:space="0" w:color="auto"/>
        <w:left w:val="none" w:sz="0" w:space="0" w:color="auto"/>
        <w:bottom w:val="none" w:sz="0" w:space="0" w:color="auto"/>
        <w:right w:val="none" w:sz="0" w:space="0" w:color="auto"/>
      </w:divBdr>
    </w:div>
    <w:div w:id="1272665851">
      <w:bodyDiv w:val="1"/>
      <w:marLeft w:val="0"/>
      <w:marRight w:val="0"/>
      <w:marTop w:val="0"/>
      <w:marBottom w:val="0"/>
      <w:divBdr>
        <w:top w:val="none" w:sz="0" w:space="0" w:color="auto"/>
        <w:left w:val="none" w:sz="0" w:space="0" w:color="auto"/>
        <w:bottom w:val="none" w:sz="0" w:space="0" w:color="auto"/>
        <w:right w:val="none" w:sz="0" w:space="0" w:color="auto"/>
      </w:divBdr>
    </w:div>
    <w:div w:id="1273248265">
      <w:bodyDiv w:val="1"/>
      <w:marLeft w:val="0"/>
      <w:marRight w:val="0"/>
      <w:marTop w:val="0"/>
      <w:marBottom w:val="0"/>
      <w:divBdr>
        <w:top w:val="none" w:sz="0" w:space="0" w:color="auto"/>
        <w:left w:val="none" w:sz="0" w:space="0" w:color="auto"/>
        <w:bottom w:val="none" w:sz="0" w:space="0" w:color="auto"/>
        <w:right w:val="none" w:sz="0" w:space="0" w:color="auto"/>
      </w:divBdr>
    </w:div>
    <w:div w:id="1310986398">
      <w:bodyDiv w:val="1"/>
      <w:marLeft w:val="0"/>
      <w:marRight w:val="0"/>
      <w:marTop w:val="0"/>
      <w:marBottom w:val="0"/>
      <w:divBdr>
        <w:top w:val="none" w:sz="0" w:space="0" w:color="auto"/>
        <w:left w:val="none" w:sz="0" w:space="0" w:color="auto"/>
        <w:bottom w:val="none" w:sz="0" w:space="0" w:color="auto"/>
        <w:right w:val="none" w:sz="0" w:space="0" w:color="auto"/>
      </w:divBdr>
    </w:div>
    <w:div w:id="1371494777">
      <w:bodyDiv w:val="1"/>
      <w:marLeft w:val="0"/>
      <w:marRight w:val="0"/>
      <w:marTop w:val="0"/>
      <w:marBottom w:val="0"/>
      <w:divBdr>
        <w:top w:val="none" w:sz="0" w:space="0" w:color="auto"/>
        <w:left w:val="none" w:sz="0" w:space="0" w:color="auto"/>
        <w:bottom w:val="none" w:sz="0" w:space="0" w:color="auto"/>
        <w:right w:val="none" w:sz="0" w:space="0" w:color="auto"/>
      </w:divBdr>
    </w:div>
    <w:div w:id="1558198210">
      <w:bodyDiv w:val="1"/>
      <w:marLeft w:val="0"/>
      <w:marRight w:val="0"/>
      <w:marTop w:val="0"/>
      <w:marBottom w:val="0"/>
      <w:divBdr>
        <w:top w:val="none" w:sz="0" w:space="0" w:color="auto"/>
        <w:left w:val="none" w:sz="0" w:space="0" w:color="auto"/>
        <w:bottom w:val="none" w:sz="0" w:space="0" w:color="auto"/>
        <w:right w:val="none" w:sz="0" w:space="0" w:color="auto"/>
      </w:divBdr>
    </w:div>
    <w:div w:id="1652907082">
      <w:bodyDiv w:val="1"/>
      <w:marLeft w:val="0"/>
      <w:marRight w:val="0"/>
      <w:marTop w:val="0"/>
      <w:marBottom w:val="0"/>
      <w:divBdr>
        <w:top w:val="none" w:sz="0" w:space="0" w:color="auto"/>
        <w:left w:val="none" w:sz="0" w:space="0" w:color="auto"/>
        <w:bottom w:val="none" w:sz="0" w:space="0" w:color="auto"/>
        <w:right w:val="none" w:sz="0" w:space="0" w:color="auto"/>
      </w:divBdr>
    </w:div>
    <w:div w:id="1837762092">
      <w:bodyDiv w:val="1"/>
      <w:marLeft w:val="0"/>
      <w:marRight w:val="0"/>
      <w:marTop w:val="0"/>
      <w:marBottom w:val="0"/>
      <w:divBdr>
        <w:top w:val="none" w:sz="0" w:space="0" w:color="auto"/>
        <w:left w:val="none" w:sz="0" w:space="0" w:color="auto"/>
        <w:bottom w:val="none" w:sz="0" w:space="0" w:color="auto"/>
        <w:right w:val="none" w:sz="0" w:space="0" w:color="auto"/>
      </w:divBdr>
    </w:div>
    <w:div w:id="1913275429">
      <w:bodyDiv w:val="1"/>
      <w:marLeft w:val="0"/>
      <w:marRight w:val="0"/>
      <w:marTop w:val="0"/>
      <w:marBottom w:val="0"/>
      <w:divBdr>
        <w:top w:val="none" w:sz="0" w:space="0" w:color="auto"/>
        <w:left w:val="none" w:sz="0" w:space="0" w:color="auto"/>
        <w:bottom w:val="none" w:sz="0" w:space="0" w:color="auto"/>
        <w:right w:val="none" w:sz="0" w:space="0" w:color="auto"/>
      </w:divBdr>
    </w:div>
    <w:div w:id="1935939250">
      <w:bodyDiv w:val="1"/>
      <w:marLeft w:val="0"/>
      <w:marRight w:val="0"/>
      <w:marTop w:val="0"/>
      <w:marBottom w:val="0"/>
      <w:divBdr>
        <w:top w:val="none" w:sz="0" w:space="0" w:color="auto"/>
        <w:left w:val="none" w:sz="0" w:space="0" w:color="auto"/>
        <w:bottom w:val="none" w:sz="0" w:space="0" w:color="auto"/>
        <w:right w:val="none" w:sz="0" w:space="0" w:color="auto"/>
      </w:divBdr>
    </w:div>
    <w:div w:id="1959096947">
      <w:bodyDiv w:val="1"/>
      <w:marLeft w:val="0"/>
      <w:marRight w:val="0"/>
      <w:marTop w:val="0"/>
      <w:marBottom w:val="0"/>
      <w:divBdr>
        <w:top w:val="none" w:sz="0" w:space="0" w:color="auto"/>
        <w:left w:val="none" w:sz="0" w:space="0" w:color="auto"/>
        <w:bottom w:val="none" w:sz="0" w:space="0" w:color="auto"/>
        <w:right w:val="none" w:sz="0" w:space="0" w:color="auto"/>
      </w:divBdr>
    </w:div>
    <w:div w:id="2018917430">
      <w:bodyDiv w:val="1"/>
      <w:marLeft w:val="0"/>
      <w:marRight w:val="0"/>
      <w:marTop w:val="0"/>
      <w:marBottom w:val="0"/>
      <w:divBdr>
        <w:top w:val="none" w:sz="0" w:space="0" w:color="auto"/>
        <w:left w:val="none" w:sz="0" w:space="0" w:color="auto"/>
        <w:bottom w:val="none" w:sz="0" w:space="0" w:color="auto"/>
        <w:right w:val="none" w:sz="0" w:space="0" w:color="auto"/>
      </w:divBdr>
    </w:div>
    <w:div w:id="2069109140">
      <w:bodyDiv w:val="1"/>
      <w:marLeft w:val="0"/>
      <w:marRight w:val="0"/>
      <w:marTop w:val="0"/>
      <w:marBottom w:val="0"/>
      <w:divBdr>
        <w:top w:val="none" w:sz="0" w:space="0" w:color="auto"/>
        <w:left w:val="none" w:sz="0" w:space="0" w:color="auto"/>
        <w:bottom w:val="none" w:sz="0" w:space="0" w:color="auto"/>
        <w:right w:val="none" w:sz="0" w:space="0" w:color="auto"/>
      </w:divBdr>
    </w:div>
    <w:div w:id="21326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ksejs.vasiljevs2@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7452</Words>
  <Characters>4249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4</cp:revision>
  <dcterms:created xsi:type="dcterms:W3CDTF">2022-08-10T13:35:00Z</dcterms:created>
  <dcterms:modified xsi:type="dcterms:W3CDTF">2022-08-10T13:37:00Z</dcterms:modified>
</cp:coreProperties>
</file>