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93B1B" w14:textId="77777777" w:rsidR="00283B5C" w:rsidRPr="00283B5C" w:rsidRDefault="00283B5C" w:rsidP="00283B5C">
      <w:pPr>
        <w:tabs>
          <w:tab w:val="left" w:pos="3760"/>
        </w:tabs>
        <w:spacing w:after="0" w:line="240" w:lineRule="auto"/>
        <w:ind w:left="-284" w:right="284" w:firstLine="4394"/>
        <w:jc w:val="right"/>
        <w:rPr>
          <w:rFonts w:ascii="Arial" w:eastAsia="Times New Roman" w:hAnsi="Arial" w:cs="Arial"/>
          <w:i/>
          <w:sz w:val="20"/>
          <w:szCs w:val="20"/>
          <w:lang w:val="en-US" w:eastAsia="lv-LV"/>
        </w:rPr>
      </w:pPr>
      <w:r w:rsidRPr="00283B5C">
        <w:rPr>
          <w:rFonts w:ascii="Arial" w:eastAsia="Times New Roman" w:hAnsi="Arial" w:cs="Arial"/>
          <w:i/>
          <w:sz w:val="20"/>
          <w:szCs w:val="20"/>
          <w:lang w:val="en-US" w:eastAsia="lv-LV"/>
        </w:rPr>
        <w:t>APSTIPRINĀTS:</w:t>
      </w:r>
    </w:p>
    <w:p w14:paraId="46ED6222" w14:textId="77777777" w:rsidR="00283B5C" w:rsidRPr="00B61D46" w:rsidRDefault="00283B5C" w:rsidP="00283B5C">
      <w:pPr>
        <w:spacing w:after="0" w:line="240" w:lineRule="auto"/>
        <w:ind w:left="-1728" w:firstLine="5414"/>
        <w:jc w:val="right"/>
        <w:rPr>
          <w:rFonts w:ascii="Arial" w:eastAsia="Times New Roman" w:hAnsi="Arial" w:cs="Arial"/>
          <w:i/>
          <w:sz w:val="20"/>
          <w:szCs w:val="20"/>
          <w:lang w:eastAsia="lv-LV"/>
        </w:rPr>
      </w:pPr>
      <w:r w:rsidRPr="00B61D46">
        <w:rPr>
          <w:rFonts w:ascii="Arial" w:eastAsia="Times New Roman" w:hAnsi="Arial" w:cs="Arial"/>
          <w:i/>
          <w:sz w:val="20"/>
          <w:szCs w:val="20"/>
          <w:lang w:eastAsia="lv-LV"/>
        </w:rPr>
        <w:t xml:space="preserve">ar iepirkuma komisijas </w:t>
      </w:r>
    </w:p>
    <w:p w14:paraId="1BDA9EB3" w14:textId="6046CEC1" w:rsidR="00283B5C" w:rsidRPr="00283B5C" w:rsidRDefault="00283B5C" w:rsidP="00283B5C">
      <w:pPr>
        <w:spacing w:after="0" w:line="240" w:lineRule="auto"/>
        <w:ind w:left="-1728" w:firstLine="5414"/>
        <w:jc w:val="right"/>
        <w:rPr>
          <w:rFonts w:ascii="Arial" w:eastAsia="Times New Roman" w:hAnsi="Arial" w:cs="Arial"/>
          <w:i/>
          <w:sz w:val="20"/>
          <w:szCs w:val="20"/>
          <w:lang w:eastAsia="lv-LV"/>
        </w:rPr>
      </w:pPr>
      <w:r w:rsidRPr="00B61D46">
        <w:rPr>
          <w:rFonts w:ascii="Arial" w:eastAsia="Times New Roman" w:hAnsi="Arial" w:cs="Arial"/>
          <w:i/>
          <w:sz w:val="20"/>
          <w:szCs w:val="20"/>
          <w:lang w:eastAsia="lv-LV"/>
        </w:rPr>
        <w:t xml:space="preserve">2022.gada </w:t>
      </w:r>
      <w:r w:rsidR="00DD348E" w:rsidRPr="00B61D46">
        <w:rPr>
          <w:rFonts w:ascii="Arial" w:eastAsia="Times New Roman" w:hAnsi="Arial" w:cs="Arial"/>
          <w:i/>
          <w:sz w:val="20"/>
          <w:szCs w:val="20"/>
          <w:lang w:eastAsia="lv-LV"/>
        </w:rPr>
        <w:t>13</w:t>
      </w:r>
      <w:r w:rsidRPr="00B61D46">
        <w:rPr>
          <w:rFonts w:ascii="Arial" w:eastAsia="Times New Roman" w:hAnsi="Arial" w:cs="Arial"/>
          <w:i/>
          <w:sz w:val="20"/>
          <w:szCs w:val="20"/>
          <w:lang w:eastAsia="lv-LV"/>
        </w:rPr>
        <w:t xml:space="preserve">.oktobra  </w:t>
      </w:r>
      <w:r w:rsidR="00DD348E" w:rsidRPr="00B61D46">
        <w:rPr>
          <w:rFonts w:ascii="Arial" w:eastAsia="Times New Roman" w:hAnsi="Arial" w:cs="Arial"/>
          <w:i/>
          <w:sz w:val="20"/>
          <w:szCs w:val="20"/>
          <w:lang w:eastAsia="lv-LV"/>
        </w:rPr>
        <w:t>16</w:t>
      </w:r>
      <w:r w:rsidRPr="00B61D46">
        <w:rPr>
          <w:rFonts w:ascii="Arial" w:eastAsia="Times New Roman" w:hAnsi="Arial" w:cs="Arial"/>
          <w:i/>
          <w:sz w:val="20"/>
          <w:szCs w:val="20"/>
          <w:lang w:eastAsia="lv-LV"/>
        </w:rPr>
        <w:t>.sēdes protokolu</w:t>
      </w:r>
    </w:p>
    <w:p w14:paraId="2D070588" w14:textId="77777777" w:rsidR="00283B5C" w:rsidRPr="00283B5C" w:rsidRDefault="00283B5C" w:rsidP="00283B5C">
      <w:pPr>
        <w:spacing w:after="0" w:line="240" w:lineRule="auto"/>
        <w:jc w:val="center"/>
        <w:rPr>
          <w:rFonts w:ascii="Arial" w:eastAsia="Times New Roman" w:hAnsi="Arial" w:cs="Arial"/>
          <w:b/>
          <w:color w:val="000000"/>
          <w:lang w:eastAsia="lv-LV"/>
        </w:rPr>
      </w:pPr>
    </w:p>
    <w:p w14:paraId="25FCA2A4" w14:textId="77777777" w:rsidR="00283B5C" w:rsidRPr="00B61D46" w:rsidRDefault="00283B5C" w:rsidP="00283B5C">
      <w:pPr>
        <w:spacing w:after="0" w:line="240" w:lineRule="auto"/>
        <w:jc w:val="center"/>
        <w:rPr>
          <w:rFonts w:ascii="Arial" w:hAnsi="Arial" w:cs="Arial"/>
          <w:b/>
          <w:lang w:eastAsia="lv-LV"/>
        </w:rPr>
      </w:pPr>
      <w:r w:rsidRPr="00B61D46">
        <w:rPr>
          <w:rFonts w:ascii="Arial" w:eastAsia="Times New Roman" w:hAnsi="Arial" w:cs="Arial"/>
          <w:b/>
          <w:lang w:eastAsia="lv-LV"/>
        </w:rPr>
        <w:t>„</w:t>
      </w:r>
      <w:r w:rsidRPr="00B61D46">
        <w:rPr>
          <w:rFonts w:ascii="Arial" w:eastAsia="Times New Roman" w:hAnsi="Arial" w:cs="Arial"/>
          <w:b/>
          <w:bCs/>
          <w:lang w:eastAsia="lv-LV"/>
        </w:rPr>
        <w:t>Dobeles stacijas centralizācijas sistēmas modernizācija</w:t>
      </w:r>
      <w:r w:rsidRPr="00B61D46">
        <w:rPr>
          <w:rFonts w:ascii="Arial" w:eastAsia="Times New Roman" w:hAnsi="Arial" w:cs="Arial"/>
          <w:b/>
          <w:lang w:eastAsia="lv-LV"/>
        </w:rPr>
        <w:t xml:space="preserve">” (iepirkuma </w:t>
      </w:r>
      <w:proofErr w:type="spellStart"/>
      <w:r w:rsidRPr="00B61D46">
        <w:rPr>
          <w:rFonts w:ascii="Arial" w:eastAsia="Times New Roman" w:hAnsi="Arial" w:cs="Arial"/>
          <w:b/>
          <w:lang w:eastAsia="lv-LV"/>
        </w:rPr>
        <w:t>Id.Nr</w:t>
      </w:r>
      <w:proofErr w:type="spellEnd"/>
      <w:r w:rsidRPr="00B61D46">
        <w:rPr>
          <w:rFonts w:ascii="Arial" w:eastAsia="Times New Roman" w:hAnsi="Arial" w:cs="Arial"/>
          <w:b/>
          <w:lang w:eastAsia="lv-LV"/>
        </w:rPr>
        <w:t>. LDZ 2022/33-SPAV)</w:t>
      </w:r>
    </w:p>
    <w:p w14:paraId="0064A2A9" w14:textId="77D64B5F" w:rsidR="0098236C" w:rsidRPr="00B61D46" w:rsidRDefault="00283B5C" w:rsidP="00283B5C">
      <w:pPr>
        <w:jc w:val="center"/>
        <w:rPr>
          <w:rFonts w:ascii="Arial" w:hAnsi="Arial" w:cs="Arial"/>
        </w:rPr>
      </w:pPr>
      <w:r w:rsidRPr="00B61D46">
        <w:rPr>
          <w:rFonts w:ascii="Arial" w:eastAsia="Times New Roman" w:hAnsi="Arial" w:cs="Arial"/>
          <w:b/>
          <w:lang w:eastAsia="lv-LV"/>
        </w:rPr>
        <w:t>SKAIDROJUMS Nr.15</w:t>
      </w:r>
    </w:p>
    <w:tbl>
      <w:tblPr>
        <w:tblStyle w:val="TableGrid"/>
        <w:tblW w:w="0" w:type="auto"/>
        <w:tblLook w:val="04A0" w:firstRow="1" w:lastRow="0" w:firstColumn="1" w:lastColumn="0" w:noHBand="0" w:noVBand="1"/>
      </w:tblPr>
      <w:tblGrid>
        <w:gridCol w:w="4148"/>
        <w:gridCol w:w="4148"/>
      </w:tblGrid>
      <w:tr w:rsidR="00283B5C" w:rsidRPr="00B61D46" w14:paraId="2DF88057" w14:textId="77777777" w:rsidTr="00283B5C">
        <w:tc>
          <w:tcPr>
            <w:tcW w:w="4148" w:type="dxa"/>
            <w:shd w:val="clear" w:color="auto" w:fill="FFF2CC" w:themeFill="accent4" w:themeFillTint="33"/>
            <w:vAlign w:val="center"/>
          </w:tcPr>
          <w:p w14:paraId="72F9004D" w14:textId="77777777" w:rsidR="00283B5C" w:rsidRPr="00B61D46" w:rsidRDefault="00283B5C" w:rsidP="00194DB6">
            <w:pPr>
              <w:jc w:val="center"/>
              <w:rPr>
                <w:rFonts w:ascii="Arial" w:hAnsi="Arial" w:cs="Arial"/>
                <w:b/>
                <w:bCs/>
                <w:i/>
                <w:iCs/>
              </w:rPr>
            </w:pPr>
            <w:r w:rsidRPr="00B61D46">
              <w:rPr>
                <w:rFonts w:ascii="Arial" w:hAnsi="Arial" w:cs="Arial"/>
                <w:i/>
                <w:iCs/>
              </w:rPr>
              <w:br w:type="page"/>
            </w:r>
            <w:r w:rsidRPr="00B61D46">
              <w:rPr>
                <w:rFonts w:ascii="Arial" w:hAnsi="Arial" w:cs="Arial"/>
                <w:b/>
                <w:bCs/>
                <w:i/>
                <w:iCs/>
              </w:rPr>
              <w:t>Jautājums</w:t>
            </w:r>
          </w:p>
        </w:tc>
        <w:tc>
          <w:tcPr>
            <w:tcW w:w="4148" w:type="dxa"/>
            <w:shd w:val="clear" w:color="auto" w:fill="FFF2CC" w:themeFill="accent4" w:themeFillTint="33"/>
            <w:vAlign w:val="center"/>
          </w:tcPr>
          <w:p w14:paraId="558D6F6D" w14:textId="77777777" w:rsidR="00283B5C" w:rsidRPr="00B61D46" w:rsidRDefault="00283B5C" w:rsidP="00194DB6">
            <w:pPr>
              <w:jc w:val="center"/>
              <w:rPr>
                <w:rFonts w:ascii="Arial" w:hAnsi="Arial" w:cs="Arial"/>
                <w:b/>
                <w:bCs/>
                <w:i/>
                <w:iCs/>
              </w:rPr>
            </w:pPr>
            <w:r w:rsidRPr="00B61D46">
              <w:rPr>
                <w:rFonts w:ascii="Arial" w:hAnsi="Arial" w:cs="Arial"/>
                <w:b/>
                <w:bCs/>
                <w:i/>
                <w:iCs/>
              </w:rPr>
              <w:t>Skaidrojums</w:t>
            </w:r>
          </w:p>
        </w:tc>
      </w:tr>
      <w:tr w:rsidR="00283B5C" w:rsidRPr="00B61D46" w14:paraId="47E6821C" w14:textId="77777777" w:rsidTr="00194DB6">
        <w:tc>
          <w:tcPr>
            <w:tcW w:w="4148" w:type="dxa"/>
          </w:tcPr>
          <w:p w14:paraId="316057FB" w14:textId="77777777" w:rsidR="00283B5C" w:rsidRPr="00B61D46" w:rsidRDefault="00283B5C" w:rsidP="00194DB6">
            <w:pPr>
              <w:rPr>
                <w:rFonts w:ascii="Arial" w:hAnsi="Arial" w:cs="Arial"/>
              </w:rPr>
            </w:pPr>
            <w:r w:rsidRPr="00B61D46">
              <w:rPr>
                <w:rFonts w:ascii="Arial" w:hAnsi="Arial" w:cs="Arial"/>
              </w:rPr>
              <w:t>1.Lūdzam apstiprināt, ka pārmiju lokālā vadība jānodrošina no stacijas dežuranta ADV.</w:t>
            </w:r>
          </w:p>
        </w:tc>
        <w:tc>
          <w:tcPr>
            <w:tcW w:w="4148" w:type="dxa"/>
          </w:tcPr>
          <w:p w14:paraId="581C11DF" w14:textId="77777777" w:rsidR="00283B5C" w:rsidRPr="00B61D46" w:rsidRDefault="00283B5C" w:rsidP="00194DB6">
            <w:pPr>
              <w:rPr>
                <w:rFonts w:ascii="Arial" w:hAnsi="Arial" w:cs="Arial"/>
              </w:rPr>
            </w:pPr>
            <w:r w:rsidRPr="00B61D46">
              <w:rPr>
                <w:rFonts w:ascii="Arial" w:hAnsi="Arial" w:cs="Arial"/>
              </w:rPr>
              <w:t>Apstiprinām, ka pārmiju lokālā vadība jānodrošina no stacijas dežuranta automatizētas darba vietas.</w:t>
            </w:r>
          </w:p>
        </w:tc>
      </w:tr>
      <w:tr w:rsidR="00283B5C" w:rsidRPr="00B61D46" w14:paraId="20FDC103" w14:textId="77777777" w:rsidTr="00194DB6">
        <w:tc>
          <w:tcPr>
            <w:tcW w:w="4148" w:type="dxa"/>
          </w:tcPr>
          <w:p w14:paraId="711A4DCD" w14:textId="77777777" w:rsidR="00283B5C" w:rsidRPr="00B61D46" w:rsidRDefault="00283B5C" w:rsidP="00194DB6">
            <w:pPr>
              <w:rPr>
                <w:rFonts w:ascii="Arial" w:hAnsi="Arial" w:cs="Arial"/>
              </w:rPr>
            </w:pPr>
            <w:r w:rsidRPr="00B61D46">
              <w:rPr>
                <w:rFonts w:ascii="Arial" w:hAnsi="Arial" w:cs="Arial"/>
              </w:rPr>
              <w:t>2.Lūdzam apstiprināt, ka Pasūtītājs nodrošinās vietu noliktavai objektā bez papildu maksas.</w:t>
            </w:r>
          </w:p>
        </w:tc>
        <w:tc>
          <w:tcPr>
            <w:tcW w:w="4148" w:type="dxa"/>
          </w:tcPr>
          <w:p w14:paraId="1927A551" w14:textId="77777777" w:rsidR="00283B5C" w:rsidRPr="00B61D46" w:rsidRDefault="00283B5C" w:rsidP="00194DB6">
            <w:pPr>
              <w:rPr>
                <w:rFonts w:ascii="Arial" w:hAnsi="Arial" w:cs="Arial"/>
              </w:rPr>
            </w:pPr>
            <w:r w:rsidRPr="00B61D46">
              <w:rPr>
                <w:rFonts w:ascii="Arial" w:hAnsi="Arial" w:cs="Arial"/>
              </w:rPr>
              <w:t>Apstiprinām, ka projekta ietvaros Uzņēmējam bez papildus maksas tiks nodrošināta vieta objektā noliktavas izveidošanai.</w:t>
            </w:r>
          </w:p>
        </w:tc>
      </w:tr>
      <w:tr w:rsidR="00283B5C" w:rsidRPr="00B61D46" w14:paraId="61850D57" w14:textId="77777777" w:rsidTr="00194DB6">
        <w:tc>
          <w:tcPr>
            <w:tcW w:w="4148" w:type="dxa"/>
          </w:tcPr>
          <w:p w14:paraId="41E2467D" w14:textId="77777777" w:rsidR="00283B5C" w:rsidRPr="00B61D46" w:rsidRDefault="00283B5C" w:rsidP="00194DB6">
            <w:pPr>
              <w:rPr>
                <w:rFonts w:ascii="Arial" w:hAnsi="Arial" w:cs="Arial"/>
              </w:rPr>
            </w:pPr>
            <w:r w:rsidRPr="00B61D46">
              <w:rPr>
                <w:rFonts w:ascii="Arial" w:hAnsi="Arial" w:cs="Arial"/>
              </w:rPr>
              <w:t>3.Lūdzam apstiprināt, ka saskaņā ar LR likumiem un Ministru kabineta noteikumiem visa tehniskā dokumentācija būvprojektu ietvaros jāiesniedz un jāizskata elektroniskajā veidā, izmantojot BIS, un ka projektēšanas posmā līdz sistēmas ievadei ekspluatācijā Uzņēmējam nav jāiesniedz projekta dokumentācija papīra veidā.</w:t>
            </w:r>
          </w:p>
        </w:tc>
        <w:tc>
          <w:tcPr>
            <w:tcW w:w="4148" w:type="dxa"/>
          </w:tcPr>
          <w:p w14:paraId="20B6FE4E" w14:textId="77777777" w:rsidR="00283B5C" w:rsidRPr="00B61D46" w:rsidRDefault="00283B5C" w:rsidP="00194DB6">
            <w:pPr>
              <w:rPr>
                <w:rFonts w:ascii="Arial" w:hAnsi="Arial" w:cs="Arial"/>
              </w:rPr>
            </w:pPr>
            <w:r w:rsidRPr="00B61D46">
              <w:rPr>
                <w:rFonts w:ascii="Arial" w:hAnsi="Arial" w:cs="Arial"/>
              </w:rPr>
              <w:t>Informējam, ka BIS sistēmā saskaņojamo dokumentu saraksts jāsaskaņo ar Pasūtītāju projektēšanas laikā.</w:t>
            </w:r>
          </w:p>
          <w:p w14:paraId="2746C876" w14:textId="14476176" w:rsidR="00283B5C" w:rsidRPr="00B61D46" w:rsidRDefault="00283B5C" w:rsidP="00194DB6">
            <w:pPr>
              <w:rPr>
                <w:rFonts w:ascii="Arial" w:hAnsi="Arial" w:cs="Arial"/>
              </w:rPr>
            </w:pPr>
            <w:r w:rsidRPr="00B61D46">
              <w:rPr>
                <w:rFonts w:ascii="Arial" w:hAnsi="Arial" w:cs="Arial"/>
              </w:rPr>
              <w:t>Vienlaicīgi informējam, ka visas projekta dokumentācijas izskatīšanai un saskaņošanai jānotiek elektronisk</w:t>
            </w:r>
            <w:r w:rsidR="00A67465">
              <w:rPr>
                <w:rFonts w:ascii="Arial" w:hAnsi="Arial" w:cs="Arial"/>
              </w:rPr>
              <w:t>ā</w:t>
            </w:r>
            <w:r w:rsidRPr="00B61D46">
              <w:rPr>
                <w:rFonts w:ascii="Arial" w:hAnsi="Arial" w:cs="Arial"/>
              </w:rPr>
              <w:t xml:space="preserve"> veidā, pēc apstiprināšanas Uzņēmējam jāizsniedz dokumentu gala versiju nepieciešamais eksemplāru skaits papīra veidā.</w:t>
            </w:r>
          </w:p>
        </w:tc>
      </w:tr>
      <w:tr w:rsidR="00283B5C" w:rsidRPr="00B61D46" w14:paraId="584FB76E" w14:textId="77777777" w:rsidTr="00194DB6">
        <w:tc>
          <w:tcPr>
            <w:tcW w:w="4148" w:type="dxa"/>
          </w:tcPr>
          <w:p w14:paraId="485D9E78" w14:textId="77777777" w:rsidR="00283B5C" w:rsidRPr="00B61D46" w:rsidRDefault="00283B5C" w:rsidP="00194DB6">
            <w:pPr>
              <w:rPr>
                <w:rFonts w:ascii="Arial" w:hAnsi="Arial" w:cs="Arial"/>
              </w:rPr>
            </w:pPr>
            <w:r w:rsidRPr="00B61D46">
              <w:rPr>
                <w:rFonts w:ascii="Arial" w:hAnsi="Arial" w:cs="Arial"/>
              </w:rPr>
              <w:t>4.Lūdzam apstiprināt, ka visa dokumentu aprite projektā var notikt elektroniski.</w:t>
            </w:r>
          </w:p>
        </w:tc>
        <w:tc>
          <w:tcPr>
            <w:tcW w:w="4148" w:type="dxa"/>
          </w:tcPr>
          <w:p w14:paraId="4A952F98" w14:textId="4D30645B" w:rsidR="00283B5C" w:rsidRPr="00B61D46" w:rsidRDefault="00283B5C" w:rsidP="00194DB6">
            <w:pPr>
              <w:rPr>
                <w:rFonts w:ascii="Arial" w:hAnsi="Arial" w:cs="Arial"/>
              </w:rPr>
            </w:pPr>
            <w:r w:rsidRPr="00B61D46">
              <w:rPr>
                <w:rFonts w:ascii="Arial" w:hAnsi="Arial" w:cs="Arial"/>
              </w:rPr>
              <w:t>Informējam, ka visas projekta dokumentācijas izskatīšanai un saskaņošanai jānotiek elektronisk</w:t>
            </w:r>
            <w:r w:rsidR="00A67465">
              <w:rPr>
                <w:rFonts w:ascii="Arial" w:hAnsi="Arial" w:cs="Arial"/>
              </w:rPr>
              <w:t xml:space="preserve">ā </w:t>
            </w:r>
            <w:r w:rsidRPr="00B61D46">
              <w:rPr>
                <w:rFonts w:ascii="Arial" w:hAnsi="Arial" w:cs="Arial"/>
              </w:rPr>
              <w:t>veidā, pēc apstiprināšanas Uzņēmējam jāizsniedz dokumentu gala versiju nepieciešamais eksemplāru skaits papīra veidā.</w:t>
            </w:r>
          </w:p>
        </w:tc>
      </w:tr>
      <w:tr w:rsidR="00283B5C" w:rsidRPr="00B61D46" w14:paraId="052E9106" w14:textId="77777777" w:rsidTr="00194DB6">
        <w:tc>
          <w:tcPr>
            <w:tcW w:w="4148" w:type="dxa"/>
          </w:tcPr>
          <w:p w14:paraId="053CCF4E" w14:textId="77777777" w:rsidR="00283B5C" w:rsidRPr="00B61D46" w:rsidRDefault="00283B5C" w:rsidP="00194DB6">
            <w:pPr>
              <w:rPr>
                <w:rFonts w:ascii="Arial" w:hAnsi="Arial" w:cs="Arial"/>
              </w:rPr>
            </w:pPr>
            <w:r w:rsidRPr="00B61D46">
              <w:rPr>
                <w:rFonts w:ascii="Arial" w:hAnsi="Arial" w:cs="Arial"/>
              </w:rPr>
              <w:t>5.Lūdzam apstiprināt, ka, ņemot vērā Pasūtītāja atbildi uz jautājumu par esošās dokumentācijas izsniegšanas formātu izmaiņu ieviešanai tajā, Uzņēmējam nav jāpārveido esošā dokumentācija DWG formātā, kā tas tiek prasīts p. 1.2.1.1 PASŪTĪTĀJA PRASĪBAS, un tas var veikt izmaiņas tieši izsniegtajā PDF.</w:t>
            </w:r>
          </w:p>
        </w:tc>
        <w:tc>
          <w:tcPr>
            <w:tcW w:w="4148" w:type="dxa"/>
          </w:tcPr>
          <w:p w14:paraId="08E99CBC" w14:textId="77777777" w:rsidR="00283B5C" w:rsidRPr="00B61D46" w:rsidRDefault="00283B5C" w:rsidP="00194DB6">
            <w:pPr>
              <w:rPr>
                <w:rFonts w:ascii="Arial" w:hAnsi="Arial" w:cs="Arial"/>
              </w:rPr>
            </w:pPr>
            <w:r w:rsidRPr="00B61D46">
              <w:rPr>
                <w:rFonts w:ascii="Arial" w:hAnsi="Arial" w:cs="Arial"/>
              </w:rPr>
              <w:t xml:space="preserve">Informējam, ka ieviešot izmaiņas esošajā dokumentācijā jāveic šo dokumentu atjaunošana, t.i. jāizstrādā un jāiesniedz Pasūtītājam papīra, PDF un DWG vai VSD formātā. </w:t>
            </w:r>
          </w:p>
        </w:tc>
      </w:tr>
      <w:tr w:rsidR="00283B5C" w:rsidRPr="00B61D46" w14:paraId="305894AA" w14:textId="77777777" w:rsidTr="00194DB6">
        <w:tc>
          <w:tcPr>
            <w:tcW w:w="4148" w:type="dxa"/>
          </w:tcPr>
          <w:p w14:paraId="667E338C" w14:textId="77777777" w:rsidR="00283B5C" w:rsidRPr="00B61D46" w:rsidRDefault="00283B5C" w:rsidP="00194DB6">
            <w:pPr>
              <w:rPr>
                <w:rFonts w:ascii="Arial" w:hAnsi="Arial" w:cs="Arial"/>
              </w:rPr>
            </w:pPr>
            <w:r w:rsidRPr="00B61D46">
              <w:rPr>
                <w:rFonts w:ascii="Arial" w:hAnsi="Arial" w:cs="Arial"/>
              </w:rPr>
              <w:t>6.Lūdzam precizēt, kāds kustības ātrums tiek paredzēts Dobeles stacijā pēc modernizācijas.</w:t>
            </w:r>
          </w:p>
        </w:tc>
        <w:tc>
          <w:tcPr>
            <w:tcW w:w="4148" w:type="dxa"/>
          </w:tcPr>
          <w:p w14:paraId="128C6DAF" w14:textId="77777777" w:rsidR="00283B5C" w:rsidRPr="00B61D46" w:rsidRDefault="00283B5C" w:rsidP="00194DB6">
            <w:pPr>
              <w:rPr>
                <w:rFonts w:ascii="Arial" w:hAnsi="Arial" w:cs="Arial"/>
              </w:rPr>
            </w:pPr>
            <w:r w:rsidRPr="00B61D46">
              <w:rPr>
                <w:rFonts w:ascii="Arial" w:hAnsi="Arial" w:cs="Arial"/>
              </w:rPr>
              <w:t xml:space="preserve">Informējam, ka projekta realizācijas rezultātā nav paredzēts mainīt atļauto vilcienu kustības ātrumu Dobeles stacijā. Informācija par aktuālo vilcienu kustības ātrumu Dobeles stacijā ir pieejama VAS “Latvijas dzelzceļš” mājaslapā: </w:t>
            </w:r>
            <w:hyperlink r:id="rId5" w:history="1">
              <w:r w:rsidRPr="00B61D46">
                <w:rPr>
                  <w:rStyle w:val="Hyperlink"/>
                  <w:rFonts w:ascii="Arial" w:hAnsi="Arial" w:cs="Arial"/>
                </w:rPr>
                <w:t>https://www.ldz.lv/lv/publiskas-lietosanas-dzelzcela-infrastrukturas-parvalditaja-normativie-dokumenti</w:t>
              </w:r>
            </w:hyperlink>
            <w:r w:rsidRPr="00B61D46">
              <w:rPr>
                <w:rFonts w:ascii="Arial" w:hAnsi="Arial" w:cs="Arial"/>
              </w:rPr>
              <w:t xml:space="preserve"> (Rīkojums “Par vilcienu kustības ātruma noteikšanu”).</w:t>
            </w:r>
          </w:p>
        </w:tc>
      </w:tr>
      <w:tr w:rsidR="00283B5C" w:rsidRPr="00B61D46" w14:paraId="432D0744" w14:textId="77777777" w:rsidTr="00194DB6">
        <w:tc>
          <w:tcPr>
            <w:tcW w:w="4148" w:type="dxa"/>
          </w:tcPr>
          <w:p w14:paraId="514BF92D" w14:textId="77777777" w:rsidR="00283B5C" w:rsidRPr="00B61D46" w:rsidRDefault="00283B5C" w:rsidP="00194DB6">
            <w:pPr>
              <w:rPr>
                <w:rFonts w:ascii="Arial" w:hAnsi="Arial" w:cs="Arial"/>
              </w:rPr>
            </w:pPr>
            <w:r w:rsidRPr="00B61D46">
              <w:rPr>
                <w:rFonts w:ascii="Arial" w:hAnsi="Arial" w:cs="Arial"/>
              </w:rPr>
              <w:lastRenderedPageBreak/>
              <w:t>7.Lūdzam konkretizēt, kādi pasākumi (prasības) ir domāti Pasūtītāja atbildē (skaidrojumi p. 4.3….Uzņēmējam jāpiegādā mikroprocesoru sistēma, kura turpmāk var tikt pielietota darbībai A klases signalizācijas sistēmas ietvaros. Tādejādi jābūt nodrošinātai iespējai bez pilnīgas centralizācijas sistēmas nomaiņas pielāgot to darbībai ar FRMCS un 1. vai 2.līmeņa ETCS iekārtām). Papildus precizējam, ka jebkādas ar lauka iekārtu aizvietošanu saistītās izmaiņas, kā arī B klases iekārtu aizvietošana ar A klases iekārtām izraisa MPC iekārtu izmaiņas, tāpat arī programmatūras aizvietošana ar drošības pierādījuma procedūru. Tāpēc nav skaidrs, kādas tieši prasības izvirza Pasūtītājs.</w:t>
            </w:r>
          </w:p>
        </w:tc>
        <w:tc>
          <w:tcPr>
            <w:tcW w:w="4148" w:type="dxa"/>
          </w:tcPr>
          <w:p w14:paraId="6AA30EC2" w14:textId="77777777" w:rsidR="00283B5C" w:rsidRPr="00B61D46" w:rsidRDefault="00283B5C" w:rsidP="00194DB6">
            <w:pPr>
              <w:rPr>
                <w:rFonts w:ascii="Arial" w:hAnsi="Arial" w:cs="Arial"/>
              </w:rPr>
            </w:pPr>
            <w:r w:rsidRPr="00B61D46">
              <w:rPr>
                <w:rFonts w:ascii="Arial" w:hAnsi="Arial" w:cs="Arial"/>
              </w:rPr>
              <w:t>Skaidrojam, ka jāpiedāvā tāda mikroprocesoru centralizācijas (MPC) sistēma, kurai ir iespēja turpmāk būt pielāgotai darbībai A klases signalizācijas sistēmas ietvaros. Pasūtītājs apzinās, ka pārejai uz A klases signalizācijas sistēmu būs nepieciešamas atsevišķās izmaiņas MPC sistēmas arhitektūrā un programmnodrošinājumā.</w:t>
            </w:r>
          </w:p>
          <w:p w14:paraId="0C7A1966" w14:textId="77777777" w:rsidR="00283B5C" w:rsidRPr="00B61D46" w:rsidRDefault="00283B5C" w:rsidP="00194DB6">
            <w:pPr>
              <w:rPr>
                <w:rFonts w:ascii="Arial" w:hAnsi="Arial" w:cs="Arial"/>
              </w:rPr>
            </w:pPr>
            <w:r w:rsidRPr="00B61D46">
              <w:rPr>
                <w:rFonts w:ascii="Arial" w:hAnsi="Arial" w:cs="Arial"/>
              </w:rPr>
              <w:t>Uzņēmējam projekta ietvaros jāpiegādā centralizācijas sistēma ar attiecīgām modernizēšanas iespējām, kā arī jāparedz noteikta kabeļu dzīslu rezerve ieguldāmās kabeļu līnijās 1.līmeņa ETCS iekārtu pieslēgšanai.</w:t>
            </w:r>
          </w:p>
        </w:tc>
      </w:tr>
      <w:tr w:rsidR="00283B5C" w:rsidRPr="00B61D46" w14:paraId="6B01E77A" w14:textId="77777777" w:rsidTr="00194DB6">
        <w:tc>
          <w:tcPr>
            <w:tcW w:w="4148" w:type="dxa"/>
          </w:tcPr>
          <w:p w14:paraId="317C91CC" w14:textId="77777777" w:rsidR="00283B5C" w:rsidRPr="00B61D46" w:rsidRDefault="00283B5C" w:rsidP="00194DB6">
            <w:pPr>
              <w:rPr>
                <w:rFonts w:ascii="Arial" w:hAnsi="Arial" w:cs="Arial"/>
              </w:rPr>
            </w:pPr>
            <w:r w:rsidRPr="00B61D46">
              <w:rPr>
                <w:rFonts w:ascii="Arial" w:hAnsi="Arial" w:cs="Arial"/>
              </w:rPr>
              <w:t xml:space="preserve">8.Lūdzam apstiprināt, ka sliežu ķēdēm nav jāaizvieto esošās izolējošās </w:t>
            </w:r>
            <w:proofErr w:type="spellStart"/>
            <w:r w:rsidRPr="00B61D46">
              <w:rPr>
                <w:rFonts w:ascii="Arial" w:hAnsi="Arial" w:cs="Arial"/>
              </w:rPr>
              <w:t>salaidnes</w:t>
            </w:r>
            <w:proofErr w:type="spellEnd"/>
            <w:r w:rsidRPr="00B61D46">
              <w:rPr>
                <w:rFonts w:ascii="Arial" w:hAnsi="Arial" w:cs="Arial"/>
              </w:rPr>
              <w:t xml:space="preserve">, un esošās izolējošās </w:t>
            </w:r>
            <w:proofErr w:type="spellStart"/>
            <w:r w:rsidRPr="00B61D46">
              <w:rPr>
                <w:rFonts w:ascii="Arial" w:hAnsi="Arial" w:cs="Arial"/>
              </w:rPr>
              <w:t>salaidnes</w:t>
            </w:r>
            <w:proofErr w:type="spellEnd"/>
            <w:r w:rsidRPr="00B61D46">
              <w:rPr>
                <w:rFonts w:ascii="Arial" w:hAnsi="Arial" w:cs="Arial"/>
              </w:rPr>
              <w:t xml:space="preserve"> var izmantot turpmākām sliežu ķēdēm.</w:t>
            </w:r>
          </w:p>
        </w:tc>
        <w:tc>
          <w:tcPr>
            <w:tcW w:w="4148" w:type="dxa"/>
          </w:tcPr>
          <w:p w14:paraId="12F20DA3" w14:textId="77777777" w:rsidR="00283B5C" w:rsidRPr="00B61D46" w:rsidRDefault="00283B5C" w:rsidP="00194DB6">
            <w:pPr>
              <w:rPr>
                <w:rFonts w:ascii="Arial" w:hAnsi="Arial" w:cs="Arial"/>
              </w:rPr>
            </w:pPr>
            <w:r w:rsidRPr="00B61D46">
              <w:rPr>
                <w:rFonts w:ascii="Arial" w:hAnsi="Arial" w:cs="Arial"/>
              </w:rPr>
              <w:t xml:space="preserve">Informējam, ka atbilstoši Nolikuma 2.pielikuma 5.3.3.punkta prasībām Uzņēmējam jāveic esošo izolējošo </w:t>
            </w:r>
            <w:proofErr w:type="spellStart"/>
            <w:r w:rsidRPr="00B61D46">
              <w:rPr>
                <w:rFonts w:ascii="Arial" w:hAnsi="Arial" w:cs="Arial"/>
              </w:rPr>
              <w:t>salaidņu</w:t>
            </w:r>
            <w:proofErr w:type="spellEnd"/>
            <w:r w:rsidRPr="00B61D46">
              <w:rPr>
                <w:rFonts w:ascii="Arial" w:hAnsi="Arial" w:cs="Arial"/>
              </w:rPr>
              <w:t xml:space="preserve"> nomaiņa.</w:t>
            </w:r>
          </w:p>
        </w:tc>
      </w:tr>
      <w:tr w:rsidR="00283B5C" w:rsidRPr="00B61D46" w14:paraId="770B291B" w14:textId="77777777" w:rsidTr="00194DB6">
        <w:tc>
          <w:tcPr>
            <w:tcW w:w="4148" w:type="dxa"/>
          </w:tcPr>
          <w:p w14:paraId="431A152D" w14:textId="77777777" w:rsidR="00283B5C" w:rsidRPr="00B61D46" w:rsidRDefault="00283B5C" w:rsidP="00194DB6">
            <w:pPr>
              <w:rPr>
                <w:rFonts w:ascii="Arial" w:hAnsi="Arial" w:cs="Arial"/>
              </w:rPr>
            </w:pPr>
            <w:r w:rsidRPr="00B61D46">
              <w:rPr>
                <w:rFonts w:ascii="Arial" w:hAnsi="Arial" w:cs="Arial"/>
              </w:rPr>
              <w:t>9.Lūdzam apstiprināt, ka tonālo sliežu ķēžu normāles izstrādā un saskaņo sliežu ķēžu izstrādātājs, un nav nepieciešams papildu saskaņojums no citām organizācijām (piemēram, NIIAS un GTSS).</w:t>
            </w:r>
          </w:p>
        </w:tc>
        <w:tc>
          <w:tcPr>
            <w:tcW w:w="4148" w:type="dxa"/>
          </w:tcPr>
          <w:p w14:paraId="5AAB41E1" w14:textId="77777777" w:rsidR="00283B5C" w:rsidRPr="00B61D46" w:rsidRDefault="00283B5C" w:rsidP="00194DB6">
            <w:pPr>
              <w:rPr>
                <w:rFonts w:ascii="Arial" w:hAnsi="Arial" w:cs="Arial"/>
              </w:rPr>
            </w:pPr>
            <w:r w:rsidRPr="00B61D46">
              <w:rPr>
                <w:rFonts w:ascii="Arial" w:hAnsi="Arial" w:cs="Arial"/>
              </w:rPr>
              <w:t>Apstiprinām, ka piedāvājamo tonālās frekvences sliežu ķēžu normāļu un regulēšanas tabulu apstiprināšana jāveic sliežu ķēžu sistēmas izstrādātājam.</w:t>
            </w:r>
          </w:p>
        </w:tc>
      </w:tr>
      <w:tr w:rsidR="00283B5C" w:rsidRPr="00B61D46" w14:paraId="4904C590" w14:textId="77777777" w:rsidTr="00194DB6">
        <w:tc>
          <w:tcPr>
            <w:tcW w:w="4148" w:type="dxa"/>
          </w:tcPr>
          <w:p w14:paraId="0234DEE2" w14:textId="77777777" w:rsidR="00283B5C" w:rsidRPr="00B61D46" w:rsidRDefault="00283B5C" w:rsidP="00194DB6">
            <w:pPr>
              <w:rPr>
                <w:rFonts w:ascii="Arial" w:hAnsi="Arial" w:cs="Arial"/>
              </w:rPr>
            </w:pPr>
            <w:r w:rsidRPr="00B61D46">
              <w:rPr>
                <w:rFonts w:ascii="Arial" w:hAnsi="Arial" w:cs="Arial"/>
              </w:rPr>
              <w:t>10.Lūdzam apstiprināt, ka par ekspertīzes veikšanu atbild Pasūtītājs.</w:t>
            </w:r>
          </w:p>
        </w:tc>
        <w:tc>
          <w:tcPr>
            <w:tcW w:w="4148" w:type="dxa"/>
          </w:tcPr>
          <w:p w14:paraId="41573122" w14:textId="77777777" w:rsidR="00283B5C" w:rsidRPr="00B61D46" w:rsidRDefault="00283B5C" w:rsidP="00194DB6">
            <w:pPr>
              <w:rPr>
                <w:rFonts w:ascii="Arial" w:hAnsi="Arial" w:cs="Arial"/>
              </w:rPr>
            </w:pPr>
            <w:r w:rsidRPr="00B61D46">
              <w:rPr>
                <w:rFonts w:ascii="Arial" w:hAnsi="Arial" w:cs="Arial"/>
              </w:rPr>
              <w:t xml:space="preserve">Informējam, ka jautājums par ekspertīzes veikšanu jāsaskaņo ar Pasūtītāju projektēšanas laikā. </w:t>
            </w:r>
          </w:p>
        </w:tc>
      </w:tr>
      <w:tr w:rsidR="00283B5C" w:rsidRPr="00B61D46" w14:paraId="30CDDD3A" w14:textId="77777777" w:rsidTr="00194DB6">
        <w:tc>
          <w:tcPr>
            <w:tcW w:w="4148" w:type="dxa"/>
          </w:tcPr>
          <w:p w14:paraId="571BF87B" w14:textId="77777777" w:rsidR="00283B5C" w:rsidRPr="00B61D46" w:rsidRDefault="00283B5C" w:rsidP="00194DB6">
            <w:pPr>
              <w:rPr>
                <w:rFonts w:ascii="Arial" w:hAnsi="Arial" w:cs="Arial"/>
              </w:rPr>
            </w:pPr>
            <w:r w:rsidRPr="00B61D46">
              <w:rPr>
                <w:rFonts w:ascii="Arial" w:hAnsi="Arial" w:cs="Arial"/>
              </w:rPr>
              <w:t>11.Lūdzam apstiprināt, ka, ja projekta izstrādes posmā pielieto “albuma” risinājumus, projektētājam tajā skaitā jāsaskaņo iekārtu tipus projektēšanas laikā, ja albuma risinājumā tiek pielietoti valstos, kurām tiek piemērotas sankcijas, ražotie komponenti.</w:t>
            </w:r>
          </w:p>
        </w:tc>
        <w:tc>
          <w:tcPr>
            <w:tcW w:w="4148" w:type="dxa"/>
          </w:tcPr>
          <w:p w14:paraId="67187859" w14:textId="77777777" w:rsidR="00283B5C" w:rsidRPr="00B61D46" w:rsidRDefault="00283B5C" w:rsidP="00194DB6">
            <w:pPr>
              <w:rPr>
                <w:rFonts w:ascii="Arial" w:hAnsi="Arial" w:cs="Arial"/>
              </w:rPr>
            </w:pPr>
            <w:r w:rsidRPr="00B61D46">
              <w:rPr>
                <w:rFonts w:ascii="Arial" w:hAnsi="Arial" w:cs="Arial"/>
              </w:rPr>
              <w:t>Apstiprinām, ka projektēšanas laikā ar Pasūtītāju jāsaskaņo pielietojamo komponenšu tipi.</w:t>
            </w:r>
          </w:p>
        </w:tc>
      </w:tr>
      <w:tr w:rsidR="007E48F1" w:rsidRPr="00B61D46" w14:paraId="399C8D70" w14:textId="77777777" w:rsidTr="00194DB6">
        <w:tc>
          <w:tcPr>
            <w:tcW w:w="4148" w:type="dxa"/>
          </w:tcPr>
          <w:p w14:paraId="64ACCD50" w14:textId="5061E06A" w:rsidR="007E48F1" w:rsidRPr="00B61D46" w:rsidRDefault="007E48F1" w:rsidP="007E48F1">
            <w:pPr>
              <w:rPr>
                <w:rFonts w:ascii="Arial" w:hAnsi="Arial" w:cs="Arial"/>
              </w:rPr>
            </w:pPr>
            <w:bookmarkStart w:id="0" w:name="_Hlk116558604"/>
            <w:r w:rsidRPr="00110AB0">
              <w:rPr>
                <w:rFonts w:ascii="Arial" w:hAnsi="Arial" w:cs="Arial"/>
              </w:rPr>
              <w:t xml:space="preserve">12.Lūdzam precizēt prasības pārvaldības nodrošināšanai </w:t>
            </w:r>
            <w:proofErr w:type="spellStart"/>
            <w:r w:rsidRPr="00110AB0">
              <w:rPr>
                <w:rFonts w:ascii="Arial" w:hAnsi="Arial" w:cs="Arial"/>
              </w:rPr>
              <w:t>defektācijas</w:t>
            </w:r>
            <w:proofErr w:type="spellEnd"/>
            <w:r w:rsidRPr="00110AB0">
              <w:rPr>
                <w:rFonts w:ascii="Arial" w:hAnsi="Arial" w:cs="Arial"/>
              </w:rPr>
              <w:t xml:space="preserve"> perioda laikā.</w:t>
            </w:r>
          </w:p>
        </w:tc>
        <w:tc>
          <w:tcPr>
            <w:tcW w:w="4148" w:type="dxa"/>
          </w:tcPr>
          <w:p w14:paraId="544D6EB2" w14:textId="397CFF0E" w:rsidR="007E48F1" w:rsidRPr="00B61D46" w:rsidRDefault="007E48F1" w:rsidP="007E48F1">
            <w:pPr>
              <w:rPr>
                <w:rFonts w:ascii="Arial" w:hAnsi="Arial" w:cs="Arial"/>
                <w:color w:val="FF0000"/>
              </w:rPr>
            </w:pPr>
            <w:r w:rsidRPr="00110AB0">
              <w:rPr>
                <w:rFonts w:ascii="Arial" w:hAnsi="Arial" w:cs="Arial"/>
              </w:rPr>
              <w:t>Jautājums nepilnīgi formulēts. Nepieciešami precizējumi, taču sakarā ar to, ka jautājums uzdots pēc  nolikuma 1.10.4.punktā minētā termiņa beigām, atbilde nevar tikt sagatavota līdz noteiktajam piedāvājumu iesniegšanas termiņam.</w:t>
            </w:r>
          </w:p>
        </w:tc>
      </w:tr>
      <w:bookmarkEnd w:id="0"/>
    </w:tbl>
    <w:p w14:paraId="761E7CC3" w14:textId="77777777" w:rsidR="00283B5C" w:rsidRPr="00C20434" w:rsidRDefault="00283B5C">
      <w:pPr>
        <w:rPr>
          <w:rFonts w:ascii="Arial" w:hAnsi="Arial" w:cs="Arial"/>
        </w:rPr>
      </w:pPr>
    </w:p>
    <w:sectPr w:rsidR="00283B5C" w:rsidRPr="00C2043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C19FB"/>
    <w:multiLevelType w:val="hybridMultilevel"/>
    <w:tmpl w:val="CEF29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BA1"/>
    <w:rsid w:val="00037D22"/>
    <w:rsid w:val="001267A4"/>
    <w:rsid w:val="001527C4"/>
    <w:rsid w:val="00283B5C"/>
    <w:rsid w:val="003204EA"/>
    <w:rsid w:val="006D4ED1"/>
    <w:rsid w:val="00785263"/>
    <w:rsid w:val="007E48F1"/>
    <w:rsid w:val="0098236C"/>
    <w:rsid w:val="00983BA1"/>
    <w:rsid w:val="00A019D2"/>
    <w:rsid w:val="00A67465"/>
    <w:rsid w:val="00B61D46"/>
    <w:rsid w:val="00C20434"/>
    <w:rsid w:val="00D82B72"/>
    <w:rsid w:val="00DB31A0"/>
    <w:rsid w:val="00DD348E"/>
    <w:rsid w:val="00E866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162B1"/>
  <w15:chartTrackingRefBased/>
  <w15:docId w15:val="{6F66F962-B473-4B83-9BDC-569F81E18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3B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3BA1"/>
    <w:pPr>
      <w:ind w:left="720"/>
      <w:contextualSpacing/>
    </w:pPr>
  </w:style>
  <w:style w:type="character" w:styleId="Hyperlink">
    <w:name w:val="Hyperlink"/>
    <w:basedOn w:val="DefaultParagraphFont"/>
    <w:uiPriority w:val="99"/>
    <w:unhideWhenUsed/>
    <w:rsid w:val="006D4ED1"/>
    <w:rPr>
      <w:color w:val="0563C1" w:themeColor="hyperlink"/>
      <w:u w:val="single"/>
    </w:rPr>
  </w:style>
  <w:style w:type="character" w:styleId="UnresolvedMention">
    <w:name w:val="Unresolved Mention"/>
    <w:basedOn w:val="DefaultParagraphFont"/>
    <w:uiPriority w:val="99"/>
    <w:semiHidden/>
    <w:unhideWhenUsed/>
    <w:rsid w:val="006D4E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dz.lv/lv/publiskas-lietosanas-dzelzcela-infrastrukturas-parvalditaja-normativie-dokument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3359</Words>
  <Characters>1915</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Aleksejs Vasiļjevs</dc:creator>
  <cp:keywords/>
  <dc:description/>
  <cp:lastModifiedBy>Inese Kempa</cp:lastModifiedBy>
  <cp:revision>5</cp:revision>
  <dcterms:created xsi:type="dcterms:W3CDTF">2022-10-13T10:04:00Z</dcterms:created>
  <dcterms:modified xsi:type="dcterms:W3CDTF">2022-10-14T06:16:00Z</dcterms:modified>
</cp:coreProperties>
</file>