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3759C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2019</w:t>
      </w:r>
      <w:r w:rsidRPr="003759C9">
        <w:rPr>
          <w:rFonts w:ascii="Times New Roman" w:eastAsia="Arial Unicode MS" w:hAnsi="Times New Roman" w:cs="Times New Roman"/>
          <w:i/>
          <w:sz w:val="24"/>
          <w:szCs w:val="24"/>
        </w:rPr>
        <w:t xml:space="preserve">.gada </w:t>
      </w:r>
      <w:r w:rsidR="008669B1">
        <w:rPr>
          <w:rFonts w:ascii="Times New Roman" w:eastAsia="Arial Unicode MS" w:hAnsi="Times New Roman" w:cs="Times New Roman"/>
          <w:i/>
          <w:sz w:val="24"/>
          <w:szCs w:val="24"/>
        </w:rPr>
        <w:t>15</w:t>
      </w:r>
      <w:r w:rsidR="00641E1F" w:rsidRPr="003759C9">
        <w:rPr>
          <w:rFonts w:ascii="Times New Roman" w:eastAsia="Arial Unicode MS" w:hAnsi="Times New Roman" w:cs="Times New Roman"/>
          <w:i/>
          <w:sz w:val="24"/>
          <w:szCs w:val="24"/>
        </w:rPr>
        <w:t>.</w:t>
      </w:r>
      <w:r w:rsidR="00E0059C" w:rsidRPr="003759C9">
        <w:rPr>
          <w:rFonts w:ascii="Times New Roman" w:eastAsia="Arial Unicode MS" w:hAnsi="Times New Roman" w:cs="Times New Roman"/>
          <w:i/>
          <w:sz w:val="24"/>
          <w:szCs w:val="24"/>
        </w:rPr>
        <w:t>augusta</w:t>
      </w: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E0059C" w:rsidRPr="003759C9">
        <w:rPr>
          <w:rFonts w:ascii="Times New Roman" w:eastAsia="Arial Unicode MS" w:hAnsi="Times New Roman" w:cs="Times New Roman"/>
          <w:i/>
          <w:sz w:val="24"/>
          <w:szCs w:val="24"/>
        </w:rPr>
        <w:t>1</w:t>
      </w:r>
      <w:r w:rsidR="008669B1">
        <w:rPr>
          <w:rFonts w:ascii="Times New Roman" w:eastAsia="Arial Unicode MS" w:hAnsi="Times New Roman" w:cs="Times New Roman"/>
          <w:i/>
          <w:sz w:val="24"/>
          <w:szCs w:val="24"/>
        </w:rPr>
        <w:t>2</w:t>
      </w:r>
    </w:p>
    <w:p w:rsidR="001A3CAD" w:rsidRPr="00810B79" w:rsidRDefault="001A3CAD" w:rsidP="003759C9">
      <w:pPr>
        <w:tabs>
          <w:tab w:val="left" w:pos="3760"/>
        </w:tabs>
        <w:spacing w:before="120"/>
        <w:ind w:right="282"/>
        <w:rPr>
          <w:rFonts w:ascii="Times New Roman" w:hAnsi="Times New Roman" w:cs="Times New Roman"/>
          <w:b/>
          <w:sz w:val="24"/>
          <w:szCs w:val="24"/>
        </w:rPr>
      </w:pPr>
    </w:p>
    <w:p w:rsidR="00713CA1" w:rsidRPr="008B6DE7" w:rsidRDefault="00713CA1" w:rsidP="00810B79">
      <w:pPr>
        <w:pStyle w:val="Title"/>
        <w:spacing w:before="120"/>
        <w:rPr>
          <w:b/>
          <w:sz w:val="24"/>
          <w:szCs w:val="24"/>
        </w:rPr>
      </w:pPr>
      <w:r w:rsidRPr="008B6DE7">
        <w:rPr>
          <w:b/>
          <w:sz w:val="24"/>
          <w:szCs w:val="24"/>
        </w:rPr>
        <w:t>VAS “Latvijas dzelzceļš”</w:t>
      </w:r>
    </w:p>
    <w:p w:rsidR="00713CA1" w:rsidRPr="00810B79" w:rsidRDefault="00713CA1" w:rsidP="00810B79">
      <w:pPr>
        <w:pStyle w:val="Title"/>
        <w:spacing w:before="120"/>
        <w:rPr>
          <w:b/>
          <w:sz w:val="24"/>
          <w:szCs w:val="24"/>
        </w:rPr>
      </w:pPr>
      <w:r w:rsidRPr="00810B79">
        <w:rPr>
          <w:b/>
          <w:sz w:val="24"/>
          <w:szCs w:val="24"/>
        </w:rPr>
        <w:t>Atklātā konkursa</w:t>
      </w:r>
    </w:p>
    <w:p w:rsidR="00713CA1" w:rsidRPr="00810B79" w:rsidRDefault="00713CA1" w:rsidP="00810B79">
      <w:pPr>
        <w:pStyle w:val="Title"/>
        <w:spacing w:before="120"/>
        <w:rPr>
          <w:b/>
          <w:sz w:val="24"/>
          <w:szCs w:val="24"/>
        </w:rPr>
      </w:pPr>
      <w:r w:rsidRPr="00810B79">
        <w:rPr>
          <w:b/>
          <w:sz w:val="24"/>
          <w:szCs w:val="24"/>
        </w:rPr>
        <w:t>„</w:t>
      </w:r>
      <w:bookmarkStart w:id="0" w:name="_Hlk10105449"/>
      <w:r w:rsidRPr="00810B79">
        <w:rPr>
          <w:b/>
          <w:sz w:val="24"/>
          <w:szCs w:val="24"/>
        </w:rPr>
        <w:t>Rīgas dzelzceļa mezgla posma Sarkandaugava – Mangaļi – Ziemeļblāzma modernizācija: būvniecība</w:t>
      </w:r>
      <w:bookmarkEnd w:id="0"/>
      <w:r w:rsidRPr="00810B79">
        <w:rPr>
          <w:b/>
          <w:sz w:val="24"/>
          <w:szCs w:val="24"/>
        </w:rPr>
        <w:t>”</w:t>
      </w:r>
    </w:p>
    <w:p w:rsidR="001A3CAD" w:rsidRPr="00D3561F" w:rsidRDefault="00713CA1" w:rsidP="00D3561F">
      <w:pPr>
        <w:pStyle w:val="Title"/>
        <w:spacing w:before="120"/>
        <w:rPr>
          <w:b/>
          <w:sz w:val="24"/>
          <w:szCs w:val="24"/>
        </w:rPr>
      </w:pPr>
      <w:r w:rsidRPr="00810B79">
        <w:rPr>
          <w:b/>
          <w:sz w:val="24"/>
          <w:szCs w:val="24"/>
        </w:rPr>
        <w:t xml:space="preserve">(iepirkuma identifikācijas Nr. </w:t>
      </w:r>
      <w:bookmarkStart w:id="1" w:name="_Hlk10105422"/>
      <w:r w:rsidRPr="00810B79">
        <w:rPr>
          <w:b/>
          <w:sz w:val="24"/>
          <w:szCs w:val="24"/>
        </w:rPr>
        <w:t>LDZ 2019/5-IB/6.2.1.2/16/I/001/01-04</w:t>
      </w:r>
      <w:bookmarkEnd w:id="1"/>
      <w:r w:rsidRPr="00810B79">
        <w:rPr>
          <w:b/>
          <w:sz w:val="24"/>
          <w:szCs w:val="24"/>
        </w:rPr>
        <w:t>)</w:t>
      </w:r>
    </w:p>
    <w:p w:rsidR="005758A8" w:rsidRPr="00810B79" w:rsidRDefault="001A3CAD" w:rsidP="00810B79">
      <w:pPr>
        <w:spacing w:before="120"/>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8669B1">
        <w:rPr>
          <w:rFonts w:ascii="Times New Roman" w:hAnsi="Times New Roman" w:cs="Times New Roman"/>
          <w:b/>
          <w:sz w:val="24"/>
          <w:szCs w:val="24"/>
        </w:rPr>
        <w:t>9</w:t>
      </w:r>
    </w:p>
    <w:p w:rsidR="002E107A" w:rsidRPr="00810B79" w:rsidRDefault="002E107A" w:rsidP="00810B79">
      <w:pPr>
        <w:spacing w:before="120"/>
        <w:ind w:right="282"/>
        <w:rPr>
          <w:rFonts w:ascii="Times New Roman" w:hAnsi="Times New Roman" w:cs="Times New Roman"/>
          <w:b/>
          <w:sz w:val="24"/>
          <w:szCs w:val="24"/>
        </w:rPr>
      </w:pPr>
    </w:p>
    <w:tbl>
      <w:tblPr>
        <w:tblStyle w:val="TableGrid"/>
        <w:tblW w:w="9776" w:type="dxa"/>
        <w:jc w:val="center"/>
        <w:tblLook w:val="04A0" w:firstRow="1" w:lastRow="0" w:firstColumn="1" w:lastColumn="0" w:noHBand="0" w:noVBand="1"/>
      </w:tblPr>
      <w:tblGrid>
        <w:gridCol w:w="890"/>
        <w:gridCol w:w="4775"/>
        <w:gridCol w:w="4111"/>
      </w:tblGrid>
      <w:tr w:rsidR="00D7671F" w:rsidRPr="00FF3269" w:rsidTr="00907A48">
        <w:trPr>
          <w:trHeight w:val="543"/>
          <w:jc w:val="center"/>
        </w:trPr>
        <w:tc>
          <w:tcPr>
            <w:tcW w:w="890" w:type="dxa"/>
            <w:shd w:val="clear" w:color="auto" w:fill="FFF2CC"/>
          </w:tcPr>
          <w:p w:rsidR="004D6653" w:rsidRPr="00FF3269" w:rsidRDefault="004D6653" w:rsidP="008B6DE7">
            <w:pPr>
              <w:spacing w:before="120"/>
              <w:jc w:val="center"/>
              <w:rPr>
                <w:rFonts w:ascii="Times New Roman" w:eastAsia="Calibri" w:hAnsi="Times New Roman" w:cs="Times New Roman"/>
                <w:szCs w:val="24"/>
                <w:lang w:eastAsia="en-US"/>
              </w:rPr>
            </w:pPr>
            <w:proofErr w:type="spellStart"/>
            <w:r w:rsidRPr="00FF3269">
              <w:rPr>
                <w:rFonts w:ascii="Times New Roman" w:eastAsia="Calibri" w:hAnsi="Times New Roman" w:cs="Times New Roman"/>
                <w:szCs w:val="24"/>
                <w:lang w:eastAsia="en-US"/>
              </w:rPr>
              <w:t>Nr.p.k</w:t>
            </w:r>
            <w:proofErr w:type="spellEnd"/>
            <w:r w:rsidRPr="00FF3269">
              <w:rPr>
                <w:rFonts w:ascii="Times New Roman" w:eastAsia="Calibri" w:hAnsi="Times New Roman" w:cs="Times New Roman"/>
                <w:szCs w:val="24"/>
                <w:lang w:eastAsia="en-US"/>
              </w:rPr>
              <w:t>.</w:t>
            </w:r>
          </w:p>
        </w:tc>
        <w:tc>
          <w:tcPr>
            <w:tcW w:w="4775" w:type="dxa"/>
            <w:shd w:val="clear" w:color="auto" w:fill="FFF2CC"/>
          </w:tcPr>
          <w:p w:rsidR="004D6653" w:rsidRPr="00FF3269" w:rsidRDefault="004D6653" w:rsidP="00810B79">
            <w:pPr>
              <w:spacing w:before="120"/>
              <w:jc w:val="center"/>
              <w:rPr>
                <w:rFonts w:ascii="Times New Roman" w:eastAsia="Calibri" w:hAnsi="Times New Roman" w:cs="Times New Roman"/>
                <w:i/>
                <w:szCs w:val="24"/>
                <w:lang w:eastAsia="en-US"/>
              </w:rPr>
            </w:pPr>
            <w:r w:rsidRPr="00FF3269">
              <w:rPr>
                <w:rFonts w:ascii="Times New Roman" w:eastAsia="Calibri" w:hAnsi="Times New Roman" w:cs="Times New Roman"/>
                <w:i/>
                <w:szCs w:val="24"/>
                <w:lang w:eastAsia="en-US"/>
              </w:rPr>
              <w:t>Jautājumi</w:t>
            </w:r>
          </w:p>
        </w:tc>
        <w:tc>
          <w:tcPr>
            <w:tcW w:w="4111" w:type="dxa"/>
            <w:shd w:val="clear" w:color="auto" w:fill="FFF2CC" w:themeFill="accent4" w:themeFillTint="33"/>
          </w:tcPr>
          <w:p w:rsidR="0029616F" w:rsidRPr="00FF3269" w:rsidRDefault="004D6653" w:rsidP="00810B79">
            <w:pPr>
              <w:spacing w:before="120"/>
              <w:jc w:val="center"/>
              <w:rPr>
                <w:rFonts w:ascii="Times New Roman" w:eastAsia="Calibri" w:hAnsi="Times New Roman" w:cs="Times New Roman"/>
                <w:i/>
                <w:szCs w:val="24"/>
                <w:lang w:eastAsia="en-US"/>
              </w:rPr>
            </w:pPr>
            <w:r w:rsidRPr="00FF3269">
              <w:rPr>
                <w:rFonts w:ascii="Times New Roman" w:eastAsia="Calibri" w:hAnsi="Times New Roman" w:cs="Times New Roman"/>
                <w:i/>
                <w:szCs w:val="24"/>
                <w:lang w:eastAsia="en-US"/>
              </w:rPr>
              <w:t>Atbildes</w:t>
            </w:r>
          </w:p>
        </w:tc>
      </w:tr>
      <w:tr w:rsidR="00A741E4" w:rsidRPr="00FF3269" w:rsidTr="00907A48">
        <w:trPr>
          <w:trHeight w:val="1441"/>
          <w:jc w:val="center"/>
        </w:trPr>
        <w:tc>
          <w:tcPr>
            <w:tcW w:w="890" w:type="dxa"/>
            <w:shd w:val="clear" w:color="auto" w:fill="auto"/>
          </w:tcPr>
          <w:p w:rsidR="00A741E4" w:rsidRPr="00FF3269" w:rsidRDefault="00A741E4" w:rsidP="00A741E4">
            <w:pPr>
              <w:pStyle w:val="ListParagraph"/>
              <w:ind w:left="0" w:right="282"/>
              <w:jc w:val="center"/>
              <w:rPr>
                <w:rFonts w:ascii="Times New Roman" w:hAnsi="Times New Roman" w:cs="Times New Roman"/>
                <w:b/>
                <w:szCs w:val="24"/>
              </w:rPr>
            </w:pPr>
            <w:r w:rsidRPr="00FF3269">
              <w:rPr>
                <w:rFonts w:ascii="Times New Roman" w:hAnsi="Times New Roman" w:cs="Times New Roman"/>
                <w:b/>
                <w:szCs w:val="24"/>
              </w:rPr>
              <w:t>1.</w:t>
            </w:r>
          </w:p>
        </w:tc>
        <w:tc>
          <w:tcPr>
            <w:tcW w:w="4775" w:type="dxa"/>
            <w:shd w:val="clear" w:color="auto" w:fill="auto"/>
          </w:tcPr>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 xml:space="preserve">Vai Uzņēmējam būs jāmaksā par </w:t>
            </w:r>
            <w:proofErr w:type="spellStart"/>
            <w:r w:rsidRPr="00FF3269">
              <w:rPr>
                <w:rFonts w:ascii="Times New Roman" w:hAnsi="Times New Roman" w:cs="Times New Roman"/>
                <w:color w:val="000000"/>
                <w:szCs w:val="24"/>
              </w:rPr>
              <w:t>signālista</w:t>
            </w:r>
            <w:proofErr w:type="spellEnd"/>
            <w:r w:rsidRPr="00FF3269">
              <w:rPr>
                <w:rFonts w:ascii="Times New Roman" w:hAnsi="Times New Roman" w:cs="Times New Roman"/>
                <w:color w:val="000000"/>
                <w:szCs w:val="24"/>
              </w:rPr>
              <w:t xml:space="preserve"> pakalpojumiem vai šīs izmaksas segs Pasūtītājs? </w:t>
            </w:r>
          </w:p>
          <w:p w:rsidR="00A741E4" w:rsidRPr="00FF3269" w:rsidRDefault="00A741E4" w:rsidP="00A741E4">
            <w:pPr>
              <w:overflowPunct w:val="0"/>
              <w:autoSpaceDE w:val="0"/>
              <w:autoSpaceDN w:val="0"/>
              <w:adjustRightInd w:val="0"/>
              <w:spacing w:after="120"/>
              <w:rPr>
                <w:rFonts w:ascii="Times New Roman" w:hAnsi="Times New Roman" w:cs="Times New Roman"/>
                <w:bCs/>
                <w:szCs w:val="24"/>
              </w:rPr>
            </w:pPr>
            <w:r w:rsidRPr="00FF3269">
              <w:rPr>
                <w:rFonts w:ascii="Times New Roman" w:hAnsi="Times New Roman" w:cs="Times New Roman"/>
                <w:color w:val="000000"/>
                <w:szCs w:val="24"/>
              </w:rPr>
              <w:t xml:space="preserve">Lūgums noradīt </w:t>
            </w:r>
            <w:proofErr w:type="spellStart"/>
            <w:r w:rsidRPr="00FF3269">
              <w:rPr>
                <w:rFonts w:ascii="Times New Roman" w:hAnsi="Times New Roman" w:cs="Times New Roman"/>
                <w:color w:val="000000"/>
                <w:szCs w:val="24"/>
              </w:rPr>
              <w:t>signālista</w:t>
            </w:r>
            <w:proofErr w:type="spellEnd"/>
            <w:r w:rsidRPr="00FF3269">
              <w:rPr>
                <w:rFonts w:ascii="Times New Roman" w:hAnsi="Times New Roman" w:cs="Times New Roman"/>
                <w:color w:val="000000"/>
                <w:szCs w:val="24"/>
              </w:rPr>
              <w:t xml:space="preserve"> stundas likmi, gadījumā ja šos izdevumus segs Uzņēmējs?</w:t>
            </w:r>
          </w:p>
        </w:tc>
        <w:tc>
          <w:tcPr>
            <w:tcW w:w="4111" w:type="dxa"/>
            <w:shd w:val="clear" w:color="auto" w:fill="auto"/>
          </w:tcPr>
          <w:p w:rsidR="00A741E4" w:rsidRPr="00170B2D" w:rsidRDefault="00A741E4" w:rsidP="00A741E4">
            <w:pPr>
              <w:spacing w:before="120"/>
              <w:rPr>
                <w:rFonts w:ascii="Times New Roman" w:eastAsia="Times New Roman" w:hAnsi="Times New Roman" w:cs="Times New Roman"/>
                <w:szCs w:val="24"/>
                <w:lang w:eastAsia="en-US"/>
              </w:rPr>
            </w:pPr>
            <w:r w:rsidRPr="00170B2D">
              <w:rPr>
                <w:rFonts w:ascii="Times New Roman" w:eastAsia="Times New Roman" w:hAnsi="Times New Roman" w:cs="Times New Roman"/>
                <w:szCs w:val="24"/>
                <w:lang w:eastAsia="en-US"/>
              </w:rPr>
              <w:t xml:space="preserve">Saskaņā ar Pasūtītāja prasību 1.sējuma 1.punktu Uzņēmējs ir atbildīgs un sedz visus izdevumus, kas saistīti ar topogrāfiskās izpētes un citas nepieciešamās izpētes veikšanu, Būvprojekta izstrādi un būvdarbu veikšanu saskaņā ar izstrādāto Būvprojektu. </w:t>
            </w:r>
          </w:p>
          <w:p w:rsidR="00A741E4" w:rsidRPr="00170B2D" w:rsidRDefault="00A741E4" w:rsidP="00A741E4">
            <w:pPr>
              <w:spacing w:before="120"/>
              <w:rPr>
                <w:rFonts w:ascii="Times New Roman" w:eastAsia="Calibri" w:hAnsi="Times New Roman" w:cs="Times New Roman"/>
                <w:szCs w:val="24"/>
                <w:highlight w:val="yellow"/>
                <w:lang w:eastAsia="en-US"/>
              </w:rPr>
            </w:pPr>
            <w:r w:rsidRPr="00170B2D">
              <w:rPr>
                <w:rFonts w:ascii="Times New Roman" w:eastAsia="Times New Roman" w:hAnsi="Times New Roman" w:cs="Times New Roman"/>
                <w:szCs w:val="24"/>
                <w:lang w:eastAsia="en-US"/>
              </w:rPr>
              <w:t xml:space="preserve">Skat. pielikumā kalkulāciju par vilcienu kustības drošības uzraudzību un </w:t>
            </w:r>
            <w:proofErr w:type="spellStart"/>
            <w:r w:rsidRPr="00170B2D">
              <w:rPr>
                <w:rFonts w:ascii="Times New Roman" w:eastAsia="Times New Roman" w:hAnsi="Times New Roman" w:cs="Times New Roman"/>
                <w:szCs w:val="24"/>
                <w:lang w:eastAsia="en-US"/>
              </w:rPr>
              <w:t>signālista</w:t>
            </w:r>
            <w:proofErr w:type="spellEnd"/>
            <w:r w:rsidRPr="00170B2D">
              <w:rPr>
                <w:rFonts w:ascii="Times New Roman" w:eastAsia="Times New Roman" w:hAnsi="Times New Roman" w:cs="Times New Roman"/>
                <w:szCs w:val="24"/>
                <w:lang w:eastAsia="en-US"/>
              </w:rPr>
              <w:t xml:space="preserve"> pakalpojumiem (1 stunda) 2019.gadam.  </w:t>
            </w:r>
          </w:p>
        </w:tc>
      </w:tr>
      <w:tr w:rsidR="00A741E4" w:rsidRPr="00FF3269" w:rsidTr="00A741E4">
        <w:trPr>
          <w:trHeight w:val="1441"/>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2.</w:t>
            </w:r>
          </w:p>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p>
        </w:tc>
        <w:tc>
          <w:tcPr>
            <w:tcW w:w="4775" w:type="dxa"/>
            <w:shd w:val="clear" w:color="auto" w:fill="auto"/>
          </w:tcPr>
          <w:p w:rsidR="00A741E4" w:rsidRPr="00FF3269" w:rsidRDefault="00A741E4" w:rsidP="00A741E4">
            <w:pPr>
              <w:jc w:val="left"/>
              <w:rPr>
                <w:rFonts w:ascii="Times New Roman" w:hAnsi="Times New Roman" w:cs="Times New Roman"/>
                <w:color w:val="000000"/>
                <w:szCs w:val="24"/>
              </w:rPr>
            </w:pPr>
            <w:r w:rsidRPr="00FF3269">
              <w:rPr>
                <w:rFonts w:ascii="Times New Roman" w:hAnsi="Times New Roman" w:cs="Times New Roman"/>
                <w:color w:val="000000"/>
                <w:szCs w:val="24"/>
              </w:rPr>
              <w:t>Vai Uzņēmējam būs jāmaksā par tehnoloģisko “logu” piešķiršanu?</w:t>
            </w:r>
          </w:p>
          <w:p w:rsidR="00A741E4" w:rsidRPr="00FF3269" w:rsidRDefault="00A741E4" w:rsidP="00A741E4">
            <w:pPr>
              <w:jc w:val="left"/>
              <w:rPr>
                <w:rFonts w:ascii="Times New Roman" w:hAnsi="Times New Roman" w:cs="Times New Roman"/>
                <w:color w:val="000000"/>
                <w:szCs w:val="24"/>
              </w:rPr>
            </w:pPr>
            <w:r w:rsidRPr="00FF3269">
              <w:rPr>
                <w:rFonts w:ascii="Times New Roman" w:hAnsi="Times New Roman" w:cs="Times New Roman"/>
                <w:color w:val="000000"/>
                <w:szCs w:val="24"/>
              </w:rPr>
              <w:t>Lūgums noradīt tehnoloģisko “logu” likmi, gadījumā ja šos izdevumus segs Uzņēmējs?</w:t>
            </w:r>
          </w:p>
        </w:tc>
        <w:tc>
          <w:tcPr>
            <w:tcW w:w="4111" w:type="dxa"/>
            <w:shd w:val="clear" w:color="auto" w:fill="auto"/>
          </w:tcPr>
          <w:p w:rsidR="00A741E4" w:rsidRPr="00170B2D" w:rsidRDefault="00A741E4" w:rsidP="00A741E4">
            <w:pPr>
              <w:spacing w:before="120"/>
              <w:rPr>
                <w:rFonts w:ascii="Times New Roman" w:eastAsia="Times New Roman" w:hAnsi="Times New Roman" w:cs="Times New Roman"/>
                <w:szCs w:val="24"/>
                <w:lang w:eastAsia="en-US"/>
              </w:rPr>
            </w:pPr>
            <w:r w:rsidRPr="00170B2D">
              <w:rPr>
                <w:rFonts w:ascii="Times New Roman" w:eastAsia="Times New Roman" w:hAnsi="Times New Roman" w:cs="Times New Roman"/>
                <w:szCs w:val="24"/>
                <w:lang w:eastAsia="en-US"/>
              </w:rPr>
              <w:t>Uzņēmējam nav jāmaksā par tehnoloģisko “logu” piešķiršanu, ja  Uzņēmējs pēc Pasūtītāja pieprasījuma ir iesniedzis darbu veikšanai nepieciešamo plānoto tehnoloģisko pārtraukumu “logu” grafiku.</w:t>
            </w:r>
          </w:p>
          <w:p w:rsidR="00A741E4" w:rsidRPr="00170B2D" w:rsidRDefault="00A741E4" w:rsidP="00A741E4">
            <w:pPr>
              <w:spacing w:before="120"/>
              <w:rPr>
                <w:rFonts w:ascii="Times New Roman" w:eastAsia="Times New Roman" w:hAnsi="Times New Roman" w:cs="Times New Roman"/>
                <w:szCs w:val="24"/>
                <w:lang w:eastAsia="en-US"/>
              </w:rPr>
            </w:pPr>
            <w:r w:rsidRPr="00170B2D">
              <w:rPr>
                <w:rFonts w:ascii="Times New Roman" w:eastAsia="Times New Roman" w:hAnsi="Times New Roman" w:cs="Times New Roman"/>
                <w:szCs w:val="24"/>
                <w:lang w:eastAsia="en-US"/>
              </w:rPr>
              <w:t>Tehnoloģisko pārtraukumu “logu” aizkavēšanas gadījumā Uzņēmējam jāsedz zaudējumi trešajām pusēm, t.i. pasažieru un kravu pārvadātajiem.</w:t>
            </w:r>
          </w:p>
        </w:tc>
      </w:tr>
      <w:tr w:rsidR="00A741E4" w:rsidRPr="00FF3269" w:rsidTr="00A741E4">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3.</w:t>
            </w:r>
          </w:p>
        </w:tc>
        <w:tc>
          <w:tcPr>
            <w:tcW w:w="4775" w:type="dxa"/>
            <w:shd w:val="clear" w:color="auto" w:fill="auto"/>
          </w:tcPr>
          <w:p w:rsidR="00A741E4" w:rsidRPr="00FF3269" w:rsidRDefault="00A741E4" w:rsidP="00A741E4">
            <w:pPr>
              <w:spacing w:after="120"/>
              <w:rPr>
                <w:rFonts w:ascii="Times New Roman" w:hAnsi="Times New Roman" w:cs="Times New Roman"/>
                <w:color w:val="000000"/>
                <w:szCs w:val="24"/>
              </w:rPr>
            </w:pPr>
            <w:r w:rsidRPr="00FF3269">
              <w:rPr>
                <w:rFonts w:ascii="Times New Roman" w:hAnsi="Times New Roman" w:cs="Times New Roman"/>
                <w:color w:val="000000"/>
                <w:szCs w:val="24"/>
              </w:rPr>
              <w:t xml:space="preserve">Sakarā ar sliežu ceļa uzbēruma paplašināšanu, posmā no dzelzceļa tilta (Zemitāni-Skulte km 12+424 ) līdz stacijai "Ziemeļblāzma", nepieciešamības gadījumā var tikts slēgta/ierobežota gājēju kustība pa autoceļam piegulošo ietvi. Vai Uzņēmējam vajadzēs segt izdevumus par ietves slēgšanu/ierobežošanu saskaņā ar Rīgas domes 28.12.2000. lēmumu Nr.9207 “Maksa par transporta būvju izmantošanu (lietošanu) Rīgas ielu sarkano līniju robežās un transporta būvju un </w:t>
            </w:r>
            <w:r w:rsidRPr="00FF3269">
              <w:rPr>
                <w:rFonts w:ascii="Times New Roman" w:hAnsi="Times New Roman" w:cs="Times New Roman"/>
                <w:color w:val="000000"/>
                <w:szCs w:val="24"/>
              </w:rPr>
              <w:lastRenderedPageBreak/>
              <w:t>inženierkomunikāciju aizsardzības zonās” vai šos izdevumus uzņemsies Pasūtītājs?</w:t>
            </w:r>
          </w:p>
        </w:tc>
        <w:tc>
          <w:tcPr>
            <w:tcW w:w="4111" w:type="dxa"/>
            <w:shd w:val="clear" w:color="auto" w:fill="auto"/>
          </w:tcPr>
          <w:p w:rsidR="00A741E4" w:rsidRPr="00170B2D" w:rsidRDefault="00A741E4" w:rsidP="00A741E4">
            <w:pPr>
              <w:overflowPunct w:val="0"/>
              <w:autoSpaceDE w:val="0"/>
              <w:autoSpaceDN w:val="0"/>
              <w:adjustRightInd w:val="0"/>
              <w:spacing w:before="120"/>
              <w:rPr>
                <w:rFonts w:ascii="Times New Roman" w:eastAsia="Calibri" w:hAnsi="Times New Roman" w:cs="Times New Roman"/>
                <w:szCs w:val="24"/>
                <w:lang w:eastAsia="en-US"/>
              </w:rPr>
            </w:pPr>
            <w:r w:rsidRPr="00170B2D">
              <w:rPr>
                <w:rFonts w:ascii="Times New Roman" w:eastAsia="Calibri" w:hAnsi="Times New Roman" w:cs="Times New Roman"/>
                <w:szCs w:val="24"/>
                <w:lang w:eastAsia="en-US"/>
              </w:rPr>
              <w:lastRenderedPageBreak/>
              <w:t>Saskaņā ar Pasūtītāja prasību 1.sējuma 1.punktu Uzņēmējs ir atbildīgs un sedz visus izdevumus, kas saistīti ar topogrāfiskās izpētes un citas nepieciešamās izpētes veikšanu, Būvprojekta izstrādi un būvdarbu veikšanu saskaņā ar izstrādāto Būvprojektu.</w:t>
            </w:r>
          </w:p>
        </w:tc>
      </w:tr>
      <w:tr w:rsidR="00A741E4" w:rsidRPr="00FF3269" w:rsidTr="00907A48">
        <w:trPr>
          <w:trHeight w:val="1441"/>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4.</w:t>
            </w:r>
          </w:p>
        </w:tc>
        <w:tc>
          <w:tcPr>
            <w:tcW w:w="4775" w:type="dxa"/>
            <w:shd w:val="clear" w:color="auto" w:fill="auto"/>
          </w:tcPr>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Vai Pasūtītājs paredz iespēju laicīgi (līdz viena nedēļai) slēgt elektrovilcienu kustību posmā stacija Mangaļi – stacija Ziemeļblāzmā, gadījuma ja tiks nodrošināta autobusu satiksme pasažieriem starp minētam stacijām?</w:t>
            </w: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Pozitīvas atbildes gadījumā, vai Uzņēmējam būs jāsedz kādi citi izdevumi neskaitot autobusa satiksmes nodrošināšanas izmaksas?</w:t>
            </w:r>
          </w:p>
        </w:tc>
        <w:tc>
          <w:tcPr>
            <w:tcW w:w="4111" w:type="dxa"/>
            <w:shd w:val="clear" w:color="auto" w:fill="auto"/>
          </w:tcPr>
          <w:p w:rsidR="00A741E4" w:rsidRPr="00170B2D" w:rsidRDefault="00A741E4" w:rsidP="00A741E4">
            <w:pPr>
              <w:overflowPunct w:val="0"/>
              <w:autoSpaceDE w:val="0"/>
              <w:autoSpaceDN w:val="0"/>
              <w:adjustRightInd w:val="0"/>
              <w:spacing w:before="120"/>
              <w:rPr>
                <w:rFonts w:ascii="Times New Roman" w:hAnsi="Times New Roman" w:cs="Times New Roman"/>
                <w:color w:val="000000"/>
                <w:szCs w:val="24"/>
              </w:rPr>
            </w:pPr>
            <w:r w:rsidRPr="00170B2D">
              <w:rPr>
                <w:rFonts w:ascii="Times New Roman" w:hAnsi="Times New Roman" w:cs="Times New Roman"/>
                <w:color w:val="000000"/>
                <w:szCs w:val="24"/>
              </w:rPr>
              <w:t>No Pasūtītāja kā infrastruktūras uzturētāja puses ir tehniski iespējama  elektrovilcienu kustības slēgšana līdz viena</w:t>
            </w:r>
            <w:r>
              <w:rPr>
                <w:rFonts w:ascii="Times New Roman" w:hAnsi="Times New Roman" w:cs="Times New Roman"/>
                <w:color w:val="000000"/>
                <w:szCs w:val="24"/>
              </w:rPr>
              <w:t>i</w:t>
            </w:r>
            <w:r w:rsidRPr="00170B2D">
              <w:rPr>
                <w:rFonts w:ascii="Times New Roman" w:hAnsi="Times New Roman" w:cs="Times New Roman"/>
                <w:color w:val="000000"/>
                <w:szCs w:val="24"/>
              </w:rPr>
              <w:t xml:space="preserve"> nedēļai posmā Mangaļi –Ziemeļblāzm</w:t>
            </w:r>
            <w:r>
              <w:rPr>
                <w:rFonts w:ascii="Times New Roman" w:hAnsi="Times New Roman" w:cs="Times New Roman"/>
                <w:color w:val="000000"/>
                <w:szCs w:val="24"/>
              </w:rPr>
              <w:t>a</w:t>
            </w:r>
            <w:r w:rsidRPr="00170B2D">
              <w:rPr>
                <w:rFonts w:ascii="Times New Roman" w:hAnsi="Times New Roman" w:cs="Times New Roman"/>
                <w:color w:val="000000"/>
                <w:szCs w:val="24"/>
              </w:rPr>
              <w:t>.</w:t>
            </w:r>
          </w:p>
          <w:p w:rsidR="00A741E4" w:rsidRPr="00170B2D" w:rsidRDefault="00A741E4" w:rsidP="00A741E4">
            <w:pPr>
              <w:overflowPunct w:val="0"/>
              <w:autoSpaceDE w:val="0"/>
              <w:autoSpaceDN w:val="0"/>
              <w:adjustRightInd w:val="0"/>
              <w:spacing w:before="120"/>
              <w:rPr>
                <w:rFonts w:ascii="Times New Roman" w:hAnsi="Times New Roman" w:cs="Times New Roman"/>
                <w:color w:val="000000"/>
                <w:szCs w:val="24"/>
              </w:rPr>
            </w:pPr>
            <w:r w:rsidRPr="00170B2D">
              <w:rPr>
                <w:rFonts w:ascii="Times New Roman" w:hAnsi="Times New Roman" w:cs="Times New Roman"/>
                <w:color w:val="000000"/>
                <w:szCs w:val="24"/>
              </w:rPr>
              <w:t>Pasažieru pārvadājumu nodrošināšana minētajā posmā un ar to saistītie izdevumi Uzņēmējam ir jāsaskaņo ar pasažieru pārvadātāju - AS “Pasažieru vilciens”.</w:t>
            </w:r>
          </w:p>
        </w:tc>
      </w:tr>
      <w:tr w:rsidR="00A741E4" w:rsidRPr="00FF3269" w:rsidTr="00907A48">
        <w:trPr>
          <w:trHeight w:val="1441"/>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5.</w:t>
            </w:r>
          </w:p>
        </w:tc>
        <w:tc>
          <w:tcPr>
            <w:tcW w:w="4775" w:type="dxa"/>
            <w:shd w:val="clear" w:color="auto" w:fill="auto"/>
          </w:tcPr>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No Pasūtītāja Tehniskajam prasībām:</w:t>
            </w: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i/>
                <w:color w:val="000000"/>
                <w:szCs w:val="24"/>
              </w:rPr>
              <w:t>6.sējums p. 6.2. Nožogojums: "</w:t>
            </w:r>
            <w:r w:rsidRPr="00FF3269">
              <w:rPr>
                <w:rFonts w:ascii="Times New Roman" w:hAnsi="Times New Roman" w:cs="Times New Roman"/>
                <w:i/>
                <w:iCs/>
                <w:color w:val="000000"/>
                <w:szCs w:val="24"/>
              </w:rPr>
              <w:t xml:space="preserve">Uzņēmējam ir jāuzprojektē un atbilstoši būvprojekta risinājumiem katrā no dzelzceļa staciju teritorijām jāuzbūvē </w:t>
            </w:r>
            <w:r w:rsidRPr="00FF3269">
              <w:rPr>
                <w:rFonts w:ascii="Times New Roman" w:hAnsi="Times New Roman" w:cs="Times New Roman"/>
                <w:i/>
                <w:iCs/>
                <w:color w:val="000000"/>
                <w:szCs w:val="24"/>
                <w:u w:val="single"/>
              </w:rPr>
              <w:t>kopumā ~2 km nožogojuma</w:t>
            </w:r>
            <w:r w:rsidRPr="00FF3269">
              <w:rPr>
                <w:rFonts w:ascii="Times New Roman" w:hAnsi="Times New Roman" w:cs="Times New Roman"/>
                <w:i/>
                <w:iCs/>
                <w:color w:val="000000"/>
                <w:szCs w:val="24"/>
              </w:rPr>
              <w:t xml:space="preserve"> (saskaņā ar projekta risinājumiem).</w:t>
            </w:r>
            <w:r w:rsidRPr="00FF3269">
              <w:rPr>
                <w:rFonts w:ascii="Times New Roman" w:hAnsi="Times New Roman" w:cs="Times New Roman"/>
                <w:color w:val="000000"/>
                <w:szCs w:val="24"/>
              </w:rPr>
              <w:t xml:space="preserve"> " </w:t>
            </w: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un</w:t>
            </w:r>
          </w:p>
          <w:p w:rsidR="00A741E4" w:rsidRPr="00FF3269" w:rsidRDefault="00A741E4" w:rsidP="00A741E4">
            <w:pPr>
              <w:rPr>
                <w:rFonts w:ascii="Times New Roman" w:hAnsi="Times New Roman" w:cs="Times New Roman"/>
                <w:i/>
                <w:color w:val="000000"/>
                <w:szCs w:val="24"/>
              </w:rPr>
            </w:pPr>
            <w:r w:rsidRPr="00FF3269">
              <w:rPr>
                <w:rFonts w:ascii="Times New Roman" w:hAnsi="Times New Roman" w:cs="Times New Roman"/>
                <w:i/>
                <w:color w:val="000000"/>
                <w:szCs w:val="24"/>
              </w:rPr>
              <w:t>2.sējumā p. 3.2. Inženiertehniskās būves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color w:val="000000"/>
                <w:szCs w:val="24"/>
              </w:rPr>
              <w:t>“</w:t>
            </w:r>
            <w:r w:rsidRPr="00FF3269">
              <w:rPr>
                <w:rFonts w:ascii="Times New Roman" w:hAnsi="Times New Roman" w:cs="Times New Roman"/>
                <w:i/>
                <w:iCs/>
                <w:color w:val="000000"/>
                <w:szCs w:val="24"/>
              </w:rPr>
              <w:t xml:space="preserve">1. Gājēju tilta būvniecība pāri sliežu ceļiem pie Ezera ielas (km 10+480) stacijas Mangaļi B parkā: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 </w:t>
            </w:r>
            <w:r w:rsidRPr="00FF3269">
              <w:rPr>
                <w:rFonts w:ascii="Times New Roman" w:hAnsi="Times New Roman" w:cs="Times New Roman"/>
                <w:i/>
                <w:iCs/>
                <w:color w:val="000000"/>
                <w:szCs w:val="24"/>
                <w:u w:val="single"/>
              </w:rPr>
              <w:t>Jāizbūvē nožogojums</w:t>
            </w:r>
            <w:r w:rsidRPr="00FF3269">
              <w:rPr>
                <w:rFonts w:ascii="Times New Roman" w:hAnsi="Times New Roman" w:cs="Times New Roman"/>
                <w:i/>
                <w:iCs/>
                <w:color w:val="000000"/>
                <w:szCs w:val="24"/>
              </w:rPr>
              <w:t>, lai novirzītu gājēju plūsmu uz gājēju tiltu un izslēgtu iespēju gājējiem šķērsot dzelzceļu tam nepiemērotā vietā.</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 2. Gājēju tuneļa būvniecība (zem 4 sliežu ceļiem) km 10+645 stacijas Mangaļi A parkā: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 </w:t>
            </w:r>
            <w:r w:rsidRPr="00FF3269">
              <w:rPr>
                <w:rFonts w:ascii="Times New Roman" w:hAnsi="Times New Roman" w:cs="Times New Roman"/>
                <w:i/>
                <w:iCs/>
                <w:color w:val="000000"/>
                <w:szCs w:val="24"/>
                <w:u w:val="single"/>
              </w:rPr>
              <w:t>Jāizbūvē nožogojums</w:t>
            </w:r>
            <w:r w:rsidRPr="00FF3269">
              <w:rPr>
                <w:rFonts w:ascii="Times New Roman" w:hAnsi="Times New Roman" w:cs="Times New Roman"/>
                <w:i/>
                <w:iCs/>
                <w:color w:val="000000"/>
                <w:szCs w:val="24"/>
              </w:rPr>
              <w:t xml:space="preserve">, lai novirzītu gājēju plūsmu uz tuneli un izslēgtu iespēju gājējiem šķērsot dzelzceļu tam nepiemērotā vietā. </w:t>
            </w: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 xml:space="preserve">un </w:t>
            </w:r>
          </w:p>
          <w:p w:rsidR="00A741E4" w:rsidRPr="00FF3269" w:rsidRDefault="00A741E4" w:rsidP="00A741E4">
            <w:pPr>
              <w:rPr>
                <w:rFonts w:ascii="Times New Roman" w:hAnsi="Times New Roman" w:cs="Times New Roman"/>
                <w:i/>
                <w:color w:val="000000"/>
                <w:szCs w:val="24"/>
              </w:rPr>
            </w:pPr>
            <w:r w:rsidRPr="00FF3269">
              <w:rPr>
                <w:rFonts w:ascii="Times New Roman" w:hAnsi="Times New Roman" w:cs="Times New Roman"/>
                <w:i/>
                <w:iCs/>
                <w:color w:val="000000"/>
                <w:szCs w:val="24"/>
              </w:rPr>
              <w:t xml:space="preserve">Gājēju pārejas Mangaļu stacijas Ziemeļblāzma parka km 13+242 un posmā Sarkandaugava-Mangaļi km 8+732 Zāģeru iela un km 8+892 Sliežu iela </w:t>
            </w:r>
            <w:r w:rsidRPr="00FF3269">
              <w:rPr>
                <w:rFonts w:ascii="Times New Roman" w:hAnsi="Times New Roman" w:cs="Times New Roman"/>
                <w:i/>
                <w:iCs/>
                <w:color w:val="000000"/>
                <w:szCs w:val="24"/>
                <w:u w:val="single"/>
              </w:rPr>
              <w:t>aprīkot ar nožogojumu</w:t>
            </w:r>
            <w:r w:rsidRPr="00FF3269">
              <w:rPr>
                <w:rFonts w:ascii="Times New Roman" w:hAnsi="Times New Roman" w:cs="Times New Roman"/>
                <w:i/>
                <w:iCs/>
                <w:color w:val="000000"/>
                <w:szCs w:val="24"/>
              </w:rPr>
              <w:t>, lai novirzītu gājēju plūsmu uz gājēju pāreju un ‘’izslēgt iespēju gājējiem šķērsot dzelzceļu tam nepiemērotā vietā.</w:t>
            </w:r>
            <w:r w:rsidRPr="00FF3269">
              <w:rPr>
                <w:rFonts w:ascii="Times New Roman" w:hAnsi="Times New Roman" w:cs="Times New Roman"/>
                <w:i/>
                <w:color w:val="000000"/>
                <w:szCs w:val="24"/>
              </w:rPr>
              <w:t xml:space="preserve"> "</w:t>
            </w:r>
          </w:p>
          <w:p w:rsidR="00A741E4" w:rsidRPr="00FF3269" w:rsidRDefault="00A741E4" w:rsidP="00A741E4">
            <w:pPr>
              <w:ind w:left="1069"/>
              <w:rPr>
                <w:rFonts w:ascii="Times New Roman" w:hAnsi="Times New Roman" w:cs="Times New Roman"/>
                <w:color w:val="000000"/>
                <w:szCs w:val="24"/>
              </w:rPr>
            </w:pPr>
          </w:p>
          <w:p w:rsidR="00A741E4" w:rsidRPr="00FF3269" w:rsidRDefault="00A741E4" w:rsidP="00A741E4">
            <w:pPr>
              <w:spacing w:after="120"/>
              <w:rPr>
                <w:rFonts w:ascii="Times New Roman" w:hAnsi="Times New Roman" w:cs="Times New Roman"/>
                <w:color w:val="000000"/>
                <w:szCs w:val="24"/>
              </w:rPr>
            </w:pPr>
            <w:r w:rsidRPr="00FF3269">
              <w:rPr>
                <w:rFonts w:ascii="Times New Roman" w:hAnsi="Times New Roman" w:cs="Times New Roman"/>
                <w:color w:val="000000"/>
                <w:szCs w:val="24"/>
              </w:rPr>
              <w:t xml:space="preserve">Vai Uzņēmējs pareizi saprot ka 6.sējumā p. 6.2. Nožogojums uzskaitīti </w:t>
            </w:r>
            <w:r w:rsidRPr="00FF3269">
              <w:rPr>
                <w:rFonts w:ascii="Times New Roman" w:hAnsi="Times New Roman" w:cs="Times New Roman"/>
                <w:i/>
                <w:iCs/>
                <w:color w:val="000000"/>
                <w:szCs w:val="24"/>
              </w:rPr>
              <w:t xml:space="preserve">~2 km nožogojuma </w:t>
            </w:r>
            <w:r w:rsidRPr="00FF3269">
              <w:rPr>
                <w:rFonts w:ascii="Times New Roman" w:hAnsi="Times New Roman" w:cs="Times New Roman"/>
                <w:b/>
                <w:bCs/>
                <w:i/>
                <w:iCs/>
                <w:color w:val="000000"/>
                <w:szCs w:val="24"/>
              </w:rPr>
              <w:t xml:space="preserve">kopumā </w:t>
            </w:r>
            <w:r w:rsidRPr="00FF3269">
              <w:rPr>
                <w:rFonts w:ascii="Times New Roman" w:hAnsi="Times New Roman" w:cs="Times New Roman"/>
                <w:color w:val="000000"/>
                <w:szCs w:val="24"/>
              </w:rPr>
              <w:t xml:space="preserve">jau iekļauj arī </w:t>
            </w:r>
            <w:r w:rsidRPr="00FF3269">
              <w:rPr>
                <w:rStyle w:val="tlid-translation"/>
                <w:rFonts w:ascii="Times New Roman" w:hAnsi="Times New Roman" w:cs="Times New Roman"/>
                <w:szCs w:val="24"/>
              </w:rPr>
              <w:t xml:space="preserve">uzskaitītās prasības </w:t>
            </w:r>
            <w:r w:rsidRPr="00FF3269">
              <w:rPr>
                <w:rFonts w:ascii="Times New Roman" w:hAnsi="Times New Roman" w:cs="Times New Roman"/>
                <w:color w:val="000000"/>
                <w:szCs w:val="24"/>
              </w:rPr>
              <w:t>2.sējumā p. 3.2. Inženiertehniskās būves</w:t>
            </w:r>
            <w:r w:rsidRPr="00FF3269">
              <w:rPr>
                <w:rStyle w:val="tlid-translation"/>
                <w:rFonts w:ascii="Times New Roman" w:hAnsi="Times New Roman" w:cs="Times New Roman"/>
                <w:szCs w:val="24"/>
              </w:rPr>
              <w:t>? Vai arī ~2 km kopumā ir noradīti tikai stacijām, neskaitot Inženiertehniskas būves?</w:t>
            </w:r>
          </w:p>
        </w:tc>
        <w:tc>
          <w:tcPr>
            <w:tcW w:w="4111" w:type="dxa"/>
            <w:shd w:val="clear" w:color="auto" w:fill="auto"/>
          </w:tcPr>
          <w:p w:rsidR="00A741E4" w:rsidRPr="00170B2D" w:rsidRDefault="00A741E4" w:rsidP="00A741E4">
            <w:pPr>
              <w:overflowPunct w:val="0"/>
              <w:autoSpaceDE w:val="0"/>
              <w:autoSpaceDN w:val="0"/>
              <w:adjustRightInd w:val="0"/>
              <w:spacing w:before="120"/>
              <w:rPr>
                <w:rFonts w:ascii="Times New Roman" w:hAnsi="Times New Roman" w:cs="Times New Roman"/>
                <w:color w:val="000000"/>
                <w:szCs w:val="24"/>
                <w:highlight w:val="yellow"/>
              </w:rPr>
            </w:pPr>
            <w:r w:rsidRPr="00170B2D">
              <w:rPr>
                <w:rFonts w:ascii="Times New Roman" w:hAnsi="Times New Roman" w:cs="Times New Roman"/>
                <w:color w:val="000000"/>
                <w:szCs w:val="24"/>
              </w:rPr>
              <w:t xml:space="preserve">Apstiprinām, ka Pasūtītāja prasību 6.sējumā 6.2.punktā “Nožogojums” norādītie </w:t>
            </w:r>
            <w:r w:rsidRPr="00170B2D">
              <w:rPr>
                <w:rFonts w:ascii="Times New Roman" w:hAnsi="Times New Roman" w:cs="Times New Roman"/>
                <w:iCs/>
                <w:color w:val="000000"/>
                <w:szCs w:val="24"/>
              </w:rPr>
              <w:t xml:space="preserve">~2 km nožogojuma </w:t>
            </w:r>
            <w:r w:rsidRPr="00170B2D">
              <w:rPr>
                <w:rFonts w:ascii="Times New Roman" w:hAnsi="Times New Roman" w:cs="Times New Roman"/>
                <w:bCs/>
                <w:iCs/>
                <w:color w:val="000000"/>
                <w:szCs w:val="24"/>
              </w:rPr>
              <w:t xml:space="preserve">ir Pasūtītāja prasību </w:t>
            </w:r>
            <w:r w:rsidRPr="00170B2D">
              <w:rPr>
                <w:rFonts w:ascii="Times New Roman" w:hAnsi="Times New Roman" w:cs="Times New Roman"/>
                <w:color w:val="000000"/>
                <w:szCs w:val="24"/>
              </w:rPr>
              <w:t>2.sējumā 3.2. punkta “Inženiertehniskās būves” prasību izpildei.</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6.</w:t>
            </w:r>
          </w:p>
        </w:tc>
        <w:tc>
          <w:tcPr>
            <w:tcW w:w="4775" w:type="dxa"/>
            <w:shd w:val="clear" w:color="auto" w:fill="auto"/>
          </w:tcPr>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 xml:space="preserve">No Pasūtītāja Tehniskajam prasībām 6.sējums p. 6. TERITORIJAS LABIEKĀRTOŠANA: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“6.1. Vispārīgi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lastRenderedPageBreak/>
              <w:t xml:space="preserve">Uzņēmējam būvprojekta sastāvā jāizstrādā visu projektēto staciju teritoriju labiekārtojuma plāns un jāveic labiekārtošanas darbi kā neatņemama projekta sastāvdaļa: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 Teritorijas </w:t>
            </w:r>
            <w:proofErr w:type="spellStart"/>
            <w:r w:rsidRPr="00FF3269">
              <w:rPr>
                <w:rFonts w:ascii="Times New Roman" w:hAnsi="Times New Roman" w:cs="Times New Roman"/>
                <w:i/>
                <w:iCs/>
                <w:color w:val="000000"/>
                <w:szCs w:val="24"/>
              </w:rPr>
              <w:t>apzaļumojums</w:t>
            </w:r>
            <w:proofErr w:type="spellEnd"/>
            <w:r w:rsidRPr="00FF3269">
              <w:rPr>
                <w:rFonts w:ascii="Times New Roman" w:hAnsi="Times New Roman" w:cs="Times New Roman"/>
                <w:i/>
                <w:iCs/>
                <w:color w:val="000000"/>
                <w:szCs w:val="24"/>
              </w:rPr>
              <w:t xml:space="preserve"> un sakārtošana pēc rakšanas darbu pabeigšanas;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xml:space="preserve">• Laukumu un celiņu atjaunošana, pārbūve un jaunbūve (pārbūves un jaunbūves gadījumā ar cieto segumu-betona bruģi); </w:t>
            </w:r>
          </w:p>
          <w:p w:rsidR="00A741E4" w:rsidRPr="00FF3269" w:rsidRDefault="00A741E4" w:rsidP="00A741E4">
            <w:pPr>
              <w:rPr>
                <w:rFonts w:ascii="Times New Roman" w:hAnsi="Times New Roman" w:cs="Times New Roman"/>
                <w:i/>
                <w:iCs/>
                <w:color w:val="000000"/>
                <w:szCs w:val="24"/>
              </w:rPr>
            </w:pPr>
            <w:r w:rsidRPr="00FF3269">
              <w:rPr>
                <w:rFonts w:ascii="Times New Roman" w:hAnsi="Times New Roman" w:cs="Times New Roman"/>
                <w:i/>
                <w:iCs/>
                <w:color w:val="000000"/>
                <w:szCs w:val="24"/>
              </w:rPr>
              <w:t>• Lietus ūdens savākšana un novadīšana”</w:t>
            </w:r>
          </w:p>
          <w:p w:rsidR="00A741E4" w:rsidRPr="00FF3269" w:rsidRDefault="00A741E4" w:rsidP="00A741E4">
            <w:pPr>
              <w:ind w:left="1069"/>
              <w:rPr>
                <w:rFonts w:ascii="Times New Roman" w:hAnsi="Times New Roman" w:cs="Times New Roman"/>
                <w:color w:val="000000"/>
                <w:szCs w:val="24"/>
              </w:rPr>
            </w:pP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Vai Uzņēmējs pareizi saprot ka Uzņēmējam jānodrošina Laukumu un celiņu atjaunošanu, pārbūvi un jaunbūvi tikai tajās vietās, kur:</w:t>
            </w:r>
          </w:p>
          <w:p w:rsidR="00A741E4" w:rsidRPr="00FF3269" w:rsidRDefault="00A741E4" w:rsidP="00A741E4">
            <w:pPr>
              <w:numPr>
                <w:ilvl w:val="0"/>
                <w:numId w:val="46"/>
              </w:numPr>
              <w:ind w:left="414" w:hanging="337"/>
              <w:rPr>
                <w:rFonts w:ascii="Times New Roman" w:hAnsi="Times New Roman" w:cs="Times New Roman"/>
                <w:szCs w:val="24"/>
              </w:rPr>
            </w:pPr>
            <w:r w:rsidRPr="00FF3269">
              <w:rPr>
                <w:rFonts w:ascii="Times New Roman" w:hAnsi="Times New Roman" w:cs="Times New Roman"/>
                <w:color w:val="000000"/>
                <w:szCs w:val="24"/>
              </w:rPr>
              <w:t>būs  nepieciešami jauni laukumi vai celiņi saskaņā ar izstrādāto Būvprojektu;</w:t>
            </w:r>
          </w:p>
          <w:p w:rsidR="00A741E4" w:rsidRPr="00FF3269" w:rsidRDefault="00A741E4" w:rsidP="00A741E4">
            <w:pPr>
              <w:numPr>
                <w:ilvl w:val="0"/>
                <w:numId w:val="46"/>
              </w:numPr>
              <w:ind w:left="414" w:hanging="337"/>
              <w:rPr>
                <w:rFonts w:ascii="Times New Roman" w:hAnsi="Times New Roman" w:cs="Times New Roman"/>
                <w:szCs w:val="24"/>
              </w:rPr>
            </w:pPr>
            <w:r w:rsidRPr="00FF3269">
              <w:rPr>
                <w:rFonts w:ascii="Times New Roman" w:hAnsi="Times New Roman" w:cs="Times New Roman"/>
                <w:color w:val="000000"/>
                <w:szCs w:val="24"/>
              </w:rPr>
              <w:t xml:space="preserve">būvniecības laikā tiks bojāti esošie laukumi un </w:t>
            </w:r>
            <w:proofErr w:type="spellStart"/>
            <w:r w:rsidRPr="00FF3269">
              <w:rPr>
                <w:rFonts w:ascii="Times New Roman" w:hAnsi="Times New Roman" w:cs="Times New Roman"/>
                <w:color w:val="000000"/>
                <w:szCs w:val="24"/>
              </w:rPr>
              <w:t>ceļini</w:t>
            </w:r>
            <w:proofErr w:type="spellEnd"/>
            <w:r w:rsidRPr="00FF3269">
              <w:rPr>
                <w:rFonts w:ascii="Times New Roman" w:hAnsi="Times New Roman" w:cs="Times New Roman"/>
                <w:color w:val="000000"/>
                <w:szCs w:val="24"/>
              </w:rPr>
              <w:t>;</w:t>
            </w:r>
          </w:p>
          <w:p w:rsidR="00A741E4" w:rsidRPr="00FF3269" w:rsidRDefault="00A741E4" w:rsidP="00A741E4">
            <w:pPr>
              <w:rPr>
                <w:rFonts w:ascii="Times New Roman" w:hAnsi="Times New Roman" w:cs="Times New Roman"/>
                <w:szCs w:val="24"/>
              </w:rPr>
            </w:pPr>
            <w:r w:rsidRPr="00FF3269">
              <w:rPr>
                <w:rFonts w:ascii="Times New Roman" w:hAnsi="Times New Roman" w:cs="Times New Roman"/>
                <w:color w:val="000000"/>
                <w:szCs w:val="24"/>
              </w:rPr>
              <w:t xml:space="preserve">Nevis pilnīgi jāatjauno un jāpārbūvē visus esošos laukumus un celiņus Dzelzceļa nodalījuma joslā </w:t>
            </w:r>
            <w:r w:rsidRPr="00FF3269">
              <w:rPr>
                <w:rFonts w:ascii="Times New Roman" w:hAnsi="Times New Roman" w:cs="Times New Roman"/>
                <w:szCs w:val="24"/>
              </w:rPr>
              <w:t>Rīgas dzelzceļa mezgla posmā Sarkandaugava – Mangaļi – Ziemeļblāzma un esošo staciju teritorijas?</w:t>
            </w:r>
          </w:p>
          <w:p w:rsidR="00A741E4" w:rsidRPr="00FF3269" w:rsidRDefault="00A741E4" w:rsidP="00A741E4">
            <w:pPr>
              <w:rPr>
                <w:rFonts w:ascii="Times New Roman" w:hAnsi="Times New Roman" w:cs="Times New Roman"/>
                <w:szCs w:val="24"/>
              </w:rPr>
            </w:pPr>
            <w:r w:rsidRPr="00FF3269">
              <w:rPr>
                <w:rFonts w:ascii="Times New Roman" w:hAnsi="Times New Roman" w:cs="Times New Roman"/>
                <w:color w:val="000000"/>
                <w:szCs w:val="24"/>
              </w:rPr>
              <w:t>Vai Uzņēmējs pareizi saprot, ka Uzņēmējam jānodrošina Lietus ūdens savākšanu un novadīšanu tikai no jaunizbūvētiem vai pārbūvētiem</w:t>
            </w:r>
            <w:r w:rsidRPr="00FF3269">
              <w:rPr>
                <w:rFonts w:ascii="Times New Roman" w:hAnsi="Times New Roman" w:cs="Times New Roman"/>
                <w:i/>
                <w:iCs/>
                <w:color w:val="000000"/>
                <w:szCs w:val="24"/>
              </w:rPr>
              <w:t xml:space="preserve"> </w:t>
            </w:r>
            <w:r w:rsidRPr="00FF3269">
              <w:rPr>
                <w:rFonts w:ascii="Times New Roman" w:hAnsi="Times New Roman" w:cs="Times New Roman"/>
                <w:color w:val="000000"/>
                <w:szCs w:val="24"/>
              </w:rPr>
              <w:t xml:space="preserve"> laukumiem un ceļiem?</w:t>
            </w:r>
          </w:p>
        </w:tc>
        <w:tc>
          <w:tcPr>
            <w:tcW w:w="4111" w:type="dxa"/>
            <w:shd w:val="clear" w:color="auto" w:fill="auto"/>
          </w:tcPr>
          <w:p w:rsidR="00A741E4" w:rsidRPr="00170B2D" w:rsidRDefault="00A741E4" w:rsidP="00A741E4">
            <w:pPr>
              <w:overflowPunct w:val="0"/>
              <w:autoSpaceDE w:val="0"/>
              <w:autoSpaceDN w:val="0"/>
              <w:adjustRightInd w:val="0"/>
              <w:spacing w:before="120"/>
              <w:rPr>
                <w:rFonts w:ascii="Times New Roman" w:eastAsia="Calibri" w:hAnsi="Times New Roman" w:cs="Times New Roman"/>
                <w:szCs w:val="24"/>
                <w:lang w:eastAsia="en-US"/>
              </w:rPr>
            </w:pPr>
            <w:r w:rsidRPr="00170B2D">
              <w:rPr>
                <w:rFonts w:ascii="Times New Roman" w:eastAsia="Calibri" w:hAnsi="Times New Roman" w:cs="Times New Roman"/>
                <w:szCs w:val="24"/>
                <w:lang w:eastAsia="en-US"/>
              </w:rPr>
              <w:lastRenderedPageBreak/>
              <w:t xml:space="preserve">Apstiprinām, ka Uzņēmējam saskaņā ar Pasūtītāja prasību 6.sējuma 6.1. punktu jānodrošina laukumu un celiņu </w:t>
            </w:r>
            <w:r w:rsidRPr="00170B2D">
              <w:rPr>
                <w:rFonts w:ascii="Times New Roman" w:eastAsia="Calibri" w:hAnsi="Times New Roman" w:cs="Times New Roman"/>
                <w:szCs w:val="24"/>
                <w:lang w:eastAsia="en-US"/>
              </w:rPr>
              <w:lastRenderedPageBreak/>
              <w:t>atjaunošan</w:t>
            </w:r>
            <w:r>
              <w:rPr>
                <w:rFonts w:ascii="Times New Roman" w:eastAsia="Calibri" w:hAnsi="Times New Roman" w:cs="Times New Roman"/>
                <w:szCs w:val="24"/>
                <w:lang w:eastAsia="en-US"/>
              </w:rPr>
              <w:t>a</w:t>
            </w:r>
            <w:r w:rsidRPr="00170B2D">
              <w:rPr>
                <w:rFonts w:ascii="Times New Roman" w:eastAsia="Calibri" w:hAnsi="Times New Roman" w:cs="Times New Roman"/>
                <w:szCs w:val="24"/>
                <w:lang w:eastAsia="en-US"/>
              </w:rPr>
              <w:t>, pārbūv</w:t>
            </w:r>
            <w:r>
              <w:rPr>
                <w:rFonts w:ascii="Times New Roman" w:eastAsia="Calibri" w:hAnsi="Times New Roman" w:cs="Times New Roman"/>
                <w:szCs w:val="24"/>
                <w:lang w:eastAsia="en-US"/>
              </w:rPr>
              <w:t>e</w:t>
            </w:r>
            <w:r w:rsidRPr="00170B2D">
              <w:rPr>
                <w:rFonts w:ascii="Times New Roman" w:eastAsia="Calibri" w:hAnsi="Times New Roman" w:cs="Times New Roman"/>
                <w:szCs w:val="24"/>
                <w:lang w:eastAsia="en-US"/>
              </w:rPr>
              <w:t xml:space="preserve"> un jaunbūv</w:t>
            </w:r>
            <w:r>
              <w:rPr>
                <w:rFonts w:ascii="Times New Roman" w:eastAsia="Calibri" w:hAnsi="Times New Roman" w:cs="Times New Roman"/>
                <w:szCs w:val="24"/>
                <w:lang w:eastAsia="en-US"/>
              </w:rPr>
              <w:t>e</w:t>
            </w:r>
            <w:r w:rsidRPr="00170B2D">
              <w:rPr>
                <w:rFonts w:ascii="Times New Roman" w:eastAsia="Calibri" w:hAnsi="Times New Roman" w:cs="Times New Roman"/>
                <w:szCs w:val="24"/>
                <w:lang w:eastAsia="en-US"/>
              </w:rPr>
              <w:t xml:space="preserve"> saskaņā ar būvprojekta risinājumiem (nav pilnīgi jāatjauno un jāpārbūvē visus laukumus un ietves dzelzceļa infrastruktūras zemes nodalījuma joslā Rīgas dzelzceļa mezgla posmā Sarkandaugava – Mangaļi – Ziemeļblāzma).</w:t>
            </w:r>
          </w:p>
          <w:p w:rsidR="00A741E4" w:rsidRPr="00170B2D" w:rsidRDefault="00A741E4" w:rsidP="00A741E4">
            <w:pPr>
              <w:overflowPunct w:val="0"/>
              <w:autoSpaceDE w:val="0"/>
              <w:autoSpaceDN w:val="0"/>
              <w:adjustRightInd w:val="0"/>
              <w:spacing w:before="120"/>
              <w:rPr>
                <w:rFonts w:ascii="Times New Roman" w:eastAsia="Calibri" w:hAnsi="Times New Roman" w:cs="Times New Roman"/>
                <w:szCs w:val="24"/>
                <w:lang w:eastAsia="en-US"/>
              </w:rPr>
            </w:pPr>
          </w:p>
          <w:p w:rsidR="00A741E4" w:rsidRPr="00170B2D" w:rsidRDefault="00A741E4" w:rsidP="00A741E4">
            <w:pPr>
              <w:overflowPunct w:val="0"/>
              <w:autoSpaceDE w:val="0"/>
              <w:autoSpaceDN w:val="0"/>
              <w:adjustRightInd w:val="0"/>
              <w:spacing w:before="120"/>
              <w:rPr>
                <w:rFonts w:ascii="Times New Roman" w:eastAsia="Calibri" w:hAnsi="Times New Roman" w:cs="Times New Roman"/>
                <w:szCs w:val="24"/>
                <w:lang w:eastAsia="en-US"/>
              </w:rPr>
            </w:pPr>
            <w:r w:rsidRPr="00170B2D">
              <w:rPr>
                <w:rFonts w:ascii="Times New Roman" w:eastAsia="Calibri" w:hAnsi="Times New Roman" w:cs="Times New Roman"/>
                <w:szCs w:val="24"/>
                <w:lang w:eastAsia="en-US"/>
              </w:rPr>
              <w:t xml:space="preserve">Apstiprinām, ka Uzņēmējam saskaņā ar Pasūtītāja prasību 6.sējuma 6.1. punktu jānodrošina lietus ūdens savākšanu un novadīšanu jaunizbūvētiem vai pārbūvētiem laukumiem un ceļiem, </w:t>
            </w:r>
            <w:r>
              <w:rPr>
                <w:rFonts w:ascii="Times New Roman" w:eastAsia="Calibri" w:hAnsi="Times New Roman" w:cs="Times New Roman"/>
                <w:szCs w:val="24"/>
                <w:lang w:eastAsia="en-US"/>
              </w:rPr>
              <w:t>atbilstoši</w:t>
            </w:r>
            <w:r w:rsidRPr="00170B2D">
              <w:rPr>
                <w:rFonts w:ascii="Times New Roman" w:eastAsia="Calibri" w:hAnsi="Times New Roman" w:cs="Times New Roman"/>
                <w:szCs w:val="24"/>
                <w:lang w:eastAsia="en-US"/>
              </w:rPr>
              <w:t xml:space="preserve"> būvprojekta risinājumiem.</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lastRenderedPageBreak/>
              <w:t>7.</w:t>
            </w:r>
          </w:p>
        </w:tc>
        <w:tc>
          <w:tcPr>
            <w:tcW w:w="4775" w:type="dxa"/>
            <w:shd w:val="clear" w:color="auto" w:fill="auto"/>
          </w:tcPr>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color w:val="000000"/>
                <w:szCs w:val="24"/>
              </w:rPr>
              <w:t xml:space="preserve">Vai Uzņēmējs pareizi saprot, ka šajā iepirkumā Biroja telpas Inženierim Būvlaukumā nodrošinās Pasūtītājs, jo prasību par Biroja telpām inženierim nav nolikumā? </w:t>
            </w:r>
          </w:p>
        </w:tc>
        <w:tc>
          <w:tcPr>
            <w:tcW w:w="4111" w:type="dxa"/>
            <w:shd w:val="clear" w:color="auto" w:fill="auto"/>
          </w:tcPr>
          <w:p w:rsidR="00A741E4" w:rsidRPr="00170B2D" w:rsidRDefault="00A741E4" w:rsidP="00A741E4">
            <w:pPr>
              <w:spacing w:before="120"/>
              <w:rPr>
                <w:rFonts w:ascii="Times New Roman" w:hAnsi="Times New Roman" w:cs="Times New Roman"/>
                <w:color w:val="000000"/>
                <w:szCs w:val="24"/>
              </w:rPr>
            </w:pPr>
            <w:r w:rsidRPr="00170B2D">
              <w:rPr>
                <w:rFonts w:ascii="Times New Roman" w:hAnsi="Times New Roman" w:cs="Times New Roman"/>
                <w:color w:val="000000"/>
                <w:szCs w:val="24"/>
              </w:rPr>
              <w:t xml:space="preserve">Apstiprinām, ka Uzņēmējam nav jānodrošina biroja telpas </w:t>
            </w:r>
            <w:r w:rsidRPr="00170B2D">
              <w:rPr>
                <w:rFonts w:ascii="Times New Roman" w:eastAsia="Times New Roman" w:hAnsi="Times New Roman" w:cs="Times New Roman"/>
                <w:color w:val="000000"/>
                <w:szCs w:val="24"/>
              </w:rPr>
              <w:t>Inženierim Būvlaukumā.</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8.</w:t>
            </w:r>
          </w:p>
        </w:tc>
        <w:tc>
          <w:tcPr>
            <w:tcW w:w="4775" w:type="dxa"/>
            <w:shd w:val="clear" w:color="auto" w:fill="auto"/>
          </w:tcPr>
          <w:p w:rsidR="00A741E4" w:rsidRPr="00FF3269" w:rsidRDefault="00A741E4" w:rsidP="00A741E4">
            <w:pPr>
              <w:rPr>
                <w:rFonts w:ascii="Times New Roman" w:hAnsi="Times New Roman" w:cs="Times New Roman"/>
                <w:szCs w:val="24"/>
              </w:rPr>
            </w:pPr>
            <w:r w:rsidRPr="00FF3269">
              <w:rPr>
                <w:rFonts w:ascii="Times New Roman" w:hAnsi="Times New Roman" w:cs="Times New Roman"/>
                <w:szCs w:val="24"/>
              </w:rPr>
              <w:t>Atsaucoties uz 4. sējuma 2. sadaļas prasību:</w:t>
            </w:r>
          </w:p>
          <w:p w:rsidR="00A741E4" w:rsidRPr="00FF3269" w:rsidRDefault="00A741E4" w:rsidP="00A741E4">
            <w:pPr>
              <w:rPr>
                <w:rFonts w:ascii="Times New Roman" w:hAnsi="Times New Roman" w:cs="Times New Roman"/>
                <w:szCs w:val="24"/>
              </w:rPr>
            </w:pPr>
            <w:r w:rsidRPr="00FF3269">
              <w:rPr>
                <w:rFonts w:ascii="Times New Roman" w:hAnsi="Times New Roman" w:cs="Times New Roman"/>
                <w:i/>
                <w:iCs/>
                <w:szCs w:val="24"/>
              </w:rPr>
              <w:t xml:space="preserve">Stacijā Mangaļi un Ziemeļblāzmas parkā nodrošināt trīs laidumu izolējošo sajūgumu. Ņemot vērā to, ka Projektējamā satiksmes pārvada būvniecības gaitā tiek saglabāts četru laidumu izolējošais sajūgums, </w:t>
            </w:r>
            <w:r w:rsidRPr="00FF3269">
              <w:rPr>
                <w:rFonts w:ascii="Times New Roman" w:hAnsi="Times New Roman" w:cs="Times New Roman"/>
                <w:b/>
                <w:bCs/>
                <w:i/>
                <w:iCs/>
                <w:szCs w:val="24"/>
                <w:u w:val="single"/>
              </w:rPr>
              <w:t>Uzņēmējs esošos balstus Nr. 5,6,7,8,9,10 drīkst nemainīt</w:t>
            </w:r>
            <w:r w:rsidRPr="00FF3269">
              <w:rPr>
                <w:rFonts w:ascii="Times New Roman" w:hAnsi="Times New Roman" w:cs="Times New Roman"/>
                <w:i/>
                <w:iCs/>
                <w:szCs w:val="24"/>
              </w:rPr>
              <w:t>, saglabājot četru laidumu izolējošo sajūgumu. Starp ieejas signālu un malējās pārvedu pārmijas centru pieņemt attālumu 280- 300m</w:t>
            </w:r>
            <w:r w:rsidRPr="00FF3269">
              <w:rPr>
                <w:rFonts w:ascii="Times New Roman" w:hAnsi="Times New Roman" w:cs="Times New Roman"/>
                <w:szCs w:val="24"/>
              </w:rPr>
              <w:t>,</w:t>
            </w:r>
          </w:p>
          <w:p w:rsidR="00A741E4" w:rsidRPr="00FF3269" w:rsidRDefault="00A741E4" w:rsidP="00A741E4">
            <w:pPr>
              <w:rPr>
                <w:rFonts w:ascii="Times New Roman" w:hAnsi="Times New Roman" w:cs="Times New Roman"/>
                <w:szCs w:val="24"/>
              </w:rPr>
            </w:pP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 xml:space="preserve">lūdzam precizēt, ka augstāk minētais paragrāfs attiecas </w:t>
            </w:r>
            <w:r w:rsidRPr="00FF3269">
              <w:rPr>
                <w:rFonts w:ascii="Times New Roman" w:hAnsi="Times New Roman" w:cs="Times New Roman"/>
                <w:b/>
                <w:bCs/>
                <w:szCs w:val="24"/>
                <w:u w:val="single"/>
              </w:rPr>
              <w:t>tikai</w:t>
            </w:r>
            <w:r w:rsidRPr="00FF3269">
              <w:rPr>
                <w:rFonts w:ascii="Times New Roman" w:hAnsi="Times New Roman" w:cs="Times New Roman"/>
                <w:szCs w:val="24"/>
              </w:rPr>
              <w:t xml:space="preserve"> uz trīs laidumu izolējošo sajūgumu nodrošināšanu un paredzamā kontakttīkla pārbūves/izbūves ietvaros trīs laidumu izolējošie sajūgumi jānodrošina tikai stacijā Mangaļi “A” un “B” atdalītāju zonā un Ziemeļblāzmas parkā “C” un </w:t>
            </w:r>
            <w:proofErr w:type="spellStart"/>
            <w:r w:rsidRPr="00FF3269">
              <w:rPr>
                <w:rFonts w:ascii="Times New Roman" w:hAnsi="Times New Roman" w:cs="Times New Roman"/>
                <w:szCs w:val="24"/>
              </w:rPr>
              <w:t>jaunizbūvējamā</w:t>
            </w:r>
            <w:proofErr w:type="spellEnd"/>
            <w:r w:rsidRPr="00FF3269">
              <w:rPr>
                <w:rFonts w:ascii="Times New Roman" w:hAnsi="Times New Roman" w:cs="Times New Roman"/>
                <w:szCs w:val="24"/>
              </w:rPr>
              <w:t xml:space="preserve"> “D” atdalītāju zonā;</w:t>
            </w: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 xml:space="preserve">lūdzam precizēt, vai uz stacijā Mangaļi esošajiem balstiem Nr. 5, 6, 7, 8, 9 un 10 ir </w:t>
            </w:r>
            <w:r w:rsidRPr="00FF3269">
              <w:rPr>
                <w:rFonts w:ascii="Times New Roman" w:hAnsi="Times New Roman" w:cs="Times New Roman"/>
                <w:szCs w:val="24"/>
              </w:rPr>
              <w:lastRenderedPageBreak/>
              <w:t xml:space="preserve">jāveic kontakttīkla </w:t>
            </w:r>
            <w:proofErr w:type="spellStart"/>
            <w:r w:rsidRPr="00FF3269">
              <w:rPr>
                <w:rFonts w:ascii="Times New Roman" w:hAnsi="Times New Roman" w:cs="Times New Roman"/>
                <w:b/>
                <w:bCs/>
                <w:szCs w:val="24"/>
              </w:rPr>
              <w:t>piekares</w:t>
            </w:r>
            <w:proofErr w:type="spellEnd"/>
            <w:r w:rsidRPr="00FF3269">
              <w:rPr>
                <w:rFonts w:ascii="Times New Roman" w:hAnsi="Times New Roman" w:cs="Times New Roman"/>
                <w:szCs w:val="24"/>
              </w:rPr>
              <w:t xml:space="preserve"> pārbūves darbi.</w:t>
            </w:r>
          </w:p>
        </w:tc>
        <w:tc>
          <w:tcPr>
            <w:tcW w:w="4111" w:type="dxa"/>
            <w:shd w:val="clear" w:color="auto" w:fill="auto"/>
          </w:tcPr>
          <w:p w:rsidR="00A741E4" w:rsidRDefault="00A741E4" w:rsidP="00A741E4">
            <w:pPr>
              <w:spacing w:before="120"/>
              <w:rPr>
                <w:rFonts w:ascii="Times New Roman" w:eastAsia="Calibri" w:hAnsi="Times New Roman" w:cs="Times New Roman"/>
                <w:szCs w:val="24"/>
                <w:lang w:eastAsia="en-US"/>
              </w:rPr>
            </w:pPr>
            <w:r w:rsidRPr="0079365B">
              <w:rPr>
                <w:rFonts w:ascii="Times New Roman" w:eastAsia="Calibri" w:hAnsi="Times New Roman" w:cs="Times New Roman"/>
                <w:szCs w:val="24"/>
                <w:lang w:eastAsia="en-US"/>
              </w:rPr>
              <w:lastRenderedPageBreak/>
              <w:t xml:space="preserve">Uzņēmējam </w:t>
            </w:r>
            <w:r>
              <w:rPr>
                <w:rFonts w:ascii="Times New Roman" w:eastAsia="Calibri" w:hAnsi="Times New Roman" w:cs="Times New Roman"/>
                <w:szCs w:val="24"/>
                <w:lang w:eastAsia="en-US"/>
              </w:rPr>
              <w:t xml:space="preserve">jānodrošina </w:t>
            </w:r>
            <w:r w:rsidRPr="009E3C80">
              <w:rPr>
                <w:rFonts w:ascii="Times New Roman" w:hAnsi="Times New Roman" w:cs="Times New Roman"/>
                <w:iCs/>
                <w:szCs w:val="24"/>
              </w:rPr>
              <w:t xml:space="preserve">trīs laidumu izolējošo sajūgumu </w:t>
            </w:r>
            <w:r w:rsidRPr="009E3C80">
              <w:rPr>
                <w:rFonts w:ascii="Times New Roman" w:hAnsi="Times New Roman" w:cs="Times New Roman"/>
                <w:szCs w:val="24"/>
                <w:lang w:eastAsia="ar-SA"/>
              </w:rPr>
              <w:t>kontakttīkla izbūves/pārbūves zonā</w:t>
            </w:r>
            <w:r w:rsidRPr="009E3C80">
              <w:rPr>
                <w:rFonts w:ascii="Times New Roman" w:eastAsia="Calibri" w:hAnsi="Times New Roman" w:cs="Times New Roman"/>
                <w:szCs w:val="24"/>
                <w:lang w:eastAsia="en-US"/>
              </w:rPr>
              <w:t xml:space="preserve"> (no</w:t>
            </w:r>
            <w:r>
              <w:rPr>
                <w:rFonts w:ascii="Times New Roman" w:eastAsia="Calibri" w:hAnsi="Times New Roman" w:cs="Times New Roman"/>
                <w:szCs w:val="24"/>
                <w:lang w:eastAsia="en-US"/>
              </w:rPr>
              <w:t xml:space="preserve"> </w:t>
            </w:r>
            <w:r w:rsidRPr="0079365B">
              <w:rPr>
                <w:rFonts w:ascii="Times New Roman" w:eastAsia="Calibri" w:hAnsi="Times New Roman" w:cs="Times New Roman"/>
                <w:szCs w:val="24"/>
                <w:lang w:eastAsia="en-US"/>
              </w:rPr>
              <w:t>stacijas Mangaļi balst</w:t>
            </w:r>
            <w:r>
              <w:rPr>
                <w:rFonts w:ascii="Times New Roman" w:eastAsia="Calibri" w:hAnsi="Times New Roman" w:cs="Times New Roman"/>
                <w:szCs w:val="24"/>
                <w:lang w:eastAsia="en-US"/>
              </w:rPr>
              <w:t>iem</w:t>
            </w:r>
            <w:r w:rsidRPr="0079365B">
              <w:rPr>
                <w:rFonts w:ascii="Times New Roman" w:eastAsia="Calibri" w:hAnsi="Times New Roman" w:cs="Times New Roman"/>
                <w:szCs w:val="24"/>
                <w:lang w:eastAsia="en-US"/>
              </w:rPr>
              <w:t xml:space="preserve"> Nr.57</w:t>
            </w:r>
            <w:r>
              <w:rPr>
                <w:rFonts w:ascii="Times New Roman" w:eastAsia="Calibri" w:hAnsi="Times New Roman" w:cs="Times New Roman"/>
                <w:szCs w:val="24"/>
                <w:lang w:eastAsia="en-US"/>
              </w:rPr>
              <w:t>,</w:t>
            </w:r>
            <w:r w:rsidRPr="0079365B">
              <w:rPr>
                <w:rFonts w:ascii="Times New Roman" w:eastAsia="Calibri" w:hAnsi="Times New Roman" w:cs="Times New Roman"/>
                <w:szCs w:val="24"/>
                <w:lang w:eastAsia="en-US"/>
              </w:rPr>
              <w:t xml:space="preserve">58 līdz </w:t>
            </w:r>
            <w:r>
              <w:rPr>
                <w:rFonts w:ascii="Times New Roman" w:eastAsia="Calibri" w:hAnsi="Times New Roman" w:cs="Times New Roman"/>
                <w:szCs w:val="24"/>
                <w:lang w:eastAsia="en-US"/>
              </w:rPr>
              <w:t xml:space="preserve">stacijas Ziemeļblāzma </w:t>
            </w:r>
            <w:r w:rsidRPr="0079365B">
              <w:rPr>
                <w:rFonts w:ascii="Times New Roman" w:eastAsia="Calibri" w:hAnsi="Times New Roman" w:cs="Times New Roman"/>
                <w:szCs w:val="24"/>
                <w:lang w:eastAsia="en-US"/>
              </w:rPr>
              <w:t>balstam Nr.</w:t>
            </w:r>
            <w:r>
              <w:rPr>
                <w:rFonts w:ascii="Times New Roman" w:eastAsia="Calibri" w:hAnsi="Times New Roman" w:cs="Times New Roman"/>
                <w:szCs w:val="24"/>
                <w:lang w:eastAsia="en-US"/>
              </w:rPr>
              <w:t xml:space="preserve">19). </w:t>
            </w:r>
          </w:p>
          <w:p w:rsidR="00A741E4" w:rsidRDefault="00A741E4" w:rsidP="00A741E4">
            <w:pPr>
              <w:spacing w:before="120"/>
              <w:rPr>
                <w:rFonts w:ascii="Times New Roman" w:eastAsia="Calibri" w:hAnsi="Times New Roman" w:cs="Times New Roman"/>
                <w:szCs w:val="24"/>
                <w:lang w:eastAsia="en-US"/>
              </w:rPr>
            </w:pPr>
          </w:p>
          <w:p w:rsidR="00A741E4" w:rsidRPr="00170B2D" w:rsidRDefault="00A741E4" w:rsidP="00A741E4">
            <w:pPr>
              <w:spacing w:before="120"/>
              <w:rPr>
                <w:rFonts w:ascii="Times New Roman" w:hAnsi="Times New Roman" w:cs="Times New Roman"/>
                <w:color w:val="000000"/>
                <w:szCs w:val="24"/>
              </w:rPr>
            </w:pPr>
            <w:r w:rsidRPr="00170B2D">
              <w:rPr>
                <w:rFonts w:ascii="Times New Roman" w:hAnsi="Times New Roman" w:cs="Times New Roman"/>
                <w:szCs w:val="24"/>
              </w:rPr>
              <w:t>Stacij</w:t>
            </w:r>
            <w:r>
              <w:rPr>
                <w:rFonts w:ascii="Times New Roman" w:hAnsi="Times New Roman" w:cs="Times New Roman"/>
                <w:szCs w:val="24"/>
              </w:rPr>
              <w:t>as</w:t>
            </w:r>
            <w:r w:rsidRPr="00170B2D">
              <w:rPr>
                <w:rFonts w:ascii="Times New Roman" w:hAnsi="Times New Roman" w:cs="Times New Roman"/>
                <w:szCs w:val="24"/>
              </w:rPr>
              <w:t xml:space="preserve"> Mangaļi esoš</w:t>
            </w:r>
            <w:r>
              <w:rPr>
                <w:rFonts w:ascii="Times New Roman" w:hAnsi="Times New Roman" w:cs="Times New Roman"/>
                <w:szCs w:val="24"/>
              </w:rPr>
              <w:t>ie</w:t>
            </w:r>
            <w:r w:rsidRPr="00170B2D">
              <w:rPr>
                <w:rFonts w:ascii="Times New Roman" w:hAnsi="Times New Roman" w:cs="Times New Roman"/>
                <w:szCs w:val="24"/>
              </w:rPr>
              <w:t xml:space="preserve"> balsti Nr. 5, 6, 7, </w:t>
            </w:r>
            <w:r>
              <w:rPr>
                <w:rFonts w:ascii="Times New Roman" w:hAnsi="Times New Roman" w:cs="Times New Roman"/>
                <w:szCs w:val="24"/>
              </w:rPr>
              <w:t xml:space="preserve">8, 9 un 10 neatrodas </w:t>
            </w:r>
            <w:r w:rsidRPr="00E57316">
              <w:rPr>
                <w:rFonts w:ascii="Times New Roman" w:hAnsi="Times New Roman" w:cs="Times New Roman"/>
                <w:szCs w:val="24"/>
              </w:rPr>
              <w:t>kontakttīkla izbūves/pārbūves zonā</w:t>
            </w:r>
            <w:r>
              <w:rPr>
                <w:rFonts w:ascii="Times New Roman" w:hAnsi="Times New Roman" w:cs="Times New Roman"/>
                <w:szCs w:val="24"/>
              </w:rPr>
              <w:t>, līdz ar to</w:t>
            </w:r>
            <w:r w:rsidRPr="00E57316">
              <w:rPr>
                <w:rFonts w:ascii="Times New Roman" w:hAnsi="Times New Roman" w:cs="Times New Roman"/>
                <w:szCs w:val="24"/>
              </w:rPr>
              <w:t xml:space="preserve"> </w:t>
            </w:r>
            <w:r>
              <w:rPr>
                <w:rFonts w:ascii="Times New Roman" w:hAnsi="Times New Roman" w:cs="Times New Roman"/>
                <w:szCs w:val="24"/>
              </w:rPr>
              <w:t xml:space="preserve">minētajiem balstiem nav jāveic </w:t>
            </w:r>
            <w:r w:rsidRPr="00170B2D">
              <w:rPr>
                <w:rFonts w:ascii="Times New Roman" w:hAnsi="Times New Roman" w:cs="Times New Roman"/>
                <w:szCs w:val="24"/>
              </w:rPr>
              <w:t xml:space="preserve">kontakttīkla </w:t>
            </w:r>
            <w:proofErr w:type="spellStart"/>
            <w:r w:rsidRPr="00E57316">
              <w:rPr>
                <w:rFonts w:ascii="Times New Roman" w:hAnsi="Times New Roman" w:cs="Times New Roman"/>
                <w:bCs/>
                <w:szCs w:val="24"/>
              </w:rPr>
              <w:t>piekares</w:t>
            </w:r>
            <w:proofErr w:type="spellEnd"/>
            <w:r w:rsidRPr="00170B2D">
              <w:rPr>
                <w:rFonts w:ascii="Times New Roman" w:hAnsi="Times New Roman" w:cs="Times New Roman"/>
                <w:szCs w:val="24"/>
              </w:rPr>
              <w:t xml:space="preserve"> pārbūves darbi.</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9.</w:t>
            </w:r>
          </w:p>
        </w:tc>
        <w:tc>
          <w:tcPr>
            <w:tcW w:w="4775" w:type="dxa"/>
            <w:shd w:val="clear" w:color="auto" w:fill="auto"/>
          </w:tcPr>
          <w:p w:rsidR="00A741E4" w:rsidRPr="00FF3269" w:rsidRDefault="00A741E4" w:rsidP="00A741E4">
            <w:pPr>
              <w:rPr>
                <w:rFonts w:ascii="Times New Roman" w:hAnsi="Times New Roman" w:cs="Times New Roman"/>
                <w:szCs w:val="24"/>
              </w:rPr>
            </w:pPr>
            <w:r w:rsidRPr="00FF3269">
              <w:rPr>
                <w:rFonts w:ascii="Times New Roman" w:hAnsi="Times New Roman" w:cs="Times New Roman"/>
                <w:szCs w:val="24"/>
              </w:rPr>
              <w:t>Atsaucoties uz 4. sējuma 2. sadaļas prasību:</w:t>
            </w:r>
          </w:p>
          <w:p w:rsidR="00A741E4" w:rsidRPr="00FF3269" w:rsidRDefault="00A741E4" w:rsidP="00A741E4">
            <w:pPr>
              <w:rPr>
                <w:rFonts w:ascii="Times New Roman" w:hAnsi="Times New Roman" w:cs="Times New Roman"/>
                <w:szCs w:val="24"/>
              </w:rPr>
            </w:pPr>
            <w:r w:rsidRPr="00FF3269">
              <w:rPr>
                <w:rFonts w:ascii="Times New Roman" w:hAnsi="Times New Roman" w:cs="Times New Roman"/>
                <w:i/>
                <w:iCs/>
                <w:szCs w:val="24"/>
              </w:rPr>
              <w:t xml:space="preserve">Nomainīt balstus </w:t>
            </w:r>
            <w:r w:rsidRPr="00FF3269">
              <w:rPr>
                <w:rFonts w:ascii="Times New Roman" w:hAnsi="Times New Roman" w:cs="Times New Roman"/>
                <w:b/>
                <w:bCs/>
                <w:i/>
                <w:iCs/>
                <w:szCs w:val="24"/>
                <w:u w:val="single"/>
              </w:rPr>
              <w:t>33, 44, 50</w:t>
            </w:r>
            <w:r w:rsidRPr="00FF3269">
              <w:rPr>
                <w:rFonts w:ascii="Times New Roman" w:hAnsi="Times New Roman" w:cs="Times New Roman"/>
                <w:i/>
                <w:iCs/>
                <w:szCs w:val="24"/>
              </w:rPr>
              <w:t>, 62, 70 pret jauniem metāla balstiem un konsolēm</w:t>
            </w:r>
            <w:r w:rsidRPr="00FF3269">
              <w:rPr>
                <w:rFonts w:ascii="Times New Roman" w:hAnsi="Times New Roman" w:cs="Times New Roman"/>
                <w:szCs w:val="24"/>
              </w:rPr>
              <w:t>.</w:t>
            </w: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 xml:space="preserve">lūdzam apstiprināt, ka augstāk minētos balstus jānomaina pret jauniem metāla balstiem un konsolēm </w:t>
            </w:r>
            <w:r w:rsidRPr="00FF3269">
              <w:rPr>
                <w:rFonts w:ascii="Times New Roman" w:hAnsi="Times New Roman" w:cs="Times New Roman"/>
                <w:b/>
                <w:bCs/>
                <w:szCs w:val="24"/>
                <w:u w:val="single"/>
              </w:rPr>
              <w:t>Mangaļu stacijā</w:t>
            </w:r>
            <w:r w:rsidRPr="00FF3269">
              <w:rPr>
                <w:rFonts w:ascii="Times New Roman" w:hAnsi="Times New Roman" w:cs="Times New Roman"/>
                <w:szCs w:val="24"/>
              </w:rPr>
              <w:t>.</w:t>
            </w:r>
          </w:p>
        </w:tc>
        <w:tc>
          <w:tcPr>
            <w:tcW w:w="4111" w:type="dxa"/>
            <w:shd w:val="clear" w:color="auto" w:fill="auto"/>
          </w:tcPr>
          <w:p w:rsidR="00A741E4" w:rsidRPr="00170B2D" w:rsidRDefault="00A741E4" w:rsidP="00A741E4">
            <w:pPr>
              <w:spacing w:before="120"/>
              <w:rPr>
                <w:rFonts w:ascii="Times New Roman" w:hAnsi="Times New Roman" w:cs="Times New Roman"/>
                <w:color w:val="000000"/>
                <w:szCs w:val="24"/>
              </w:rPr>
            </w:pPr>
            <w:r w:rsidRPr="00170B2D">
              <w:rPr>
                <w:rFonts w:ascii="Times New Roman" w:hAnsi="Times New Roman" w:cs="Times New Roman"/>
                <w:color w:val="000000"/>
                <w:szCs w:val="24"/>
              </w:rPr>
              <w:t>Apstiprinām, ka Uzņēmējam ir jānomaina stacijas Mangaļi balsti 33, 44, 50, 62, 70 pret jauniem metāla balstiem</w:t>
            </w:r>
            <w:r>
              <w:rPr>
                <w:rFonts w:ascii="Times New Roman" w:hAnsi="Times New Roman" w:cs="Times New Roman"/>
                <w:color w:val="000000"/>
                <w:szCs w:val="24"/>
              </w:rPr>
              <w:t xml:space="preserve"> ar </w:t>
            </w:r>
            <w:r w:rsidRPr="00170B2D">
              <w:rPr>
                <w:rFonts w:ascii="Times New Roman" w:hAnsi="Times New Roman" w:cs="Times New Roman"/>
                <w:color w:val="000000"/>
                <w:szCs w:val="24"/>
              </w:rPr>
              <w:t>konsolēm.</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10.</w:t>
            </w:r>
          </w:p>
        </w:tc>
        <w:tc>
          <w:tcPr>
            <w:tcW w:w="4775" w:type="dxa"/>
            <w:shd w:val="clear" w:color="auto" w:fill="auto"/>
          </w:tcPr>
          <w:p w:rsidR="00A741E4" w:rsidRPr="00FF3269" w:rsidRDefault="00A741E4" w:rsidP="00A741E4">
            <w:pPr>
              <w:rPr>
                <w:rFonts w:ascii="Times New Roman" w:hAnsi="Times New Roman" w:cs="Times New Roman"/>
                <w:szCs w:val="24"/>
              </w:rPr>
            </w:pPr>
            <w:r w:rsidRPr="00FF3269">
              <w:rPr>
                <w:rFonts w:ascii="Times New Roman" w:hAnsi="Times New Roman" w:cs="Times New Roman"/>
                <w:szCs w:val="24"/>
              </w:rPr>
              <w:t>Atsaucoties uz 4. sējuma 2. sadaļas prasībām:</w:t>
            </w: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Posmā Mangaļi-Ziemeļblāzma, stacijas Mangaļi un Ziemeļblāzmas parka galvenajiem ceļiem</w:t>
            </w: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 xml:space="preserve">nomainīt </w:t>
            </w:r>
            <w:proofErr w:type="spellStart"/>
            <w:r w:rsidRPr="00FF3269">
              <w:rPr>
                <w:rFonts w:ascii="Times New Roman" w:hAnsi="Times New Roman" w:cs="Times New Roman"/>
                <w:i/>
                <w:iCs/>
                <w:szCs w:val="24"/>
              </w:rPr>
              <w:t>kontaktvadus</w:t>
            </w:r>
            <w:proofErr w:type="spellEnd"/>
            <w:r w:rsidRPr="00FF3269">
              <w:rPr>
                <w:rFonts w:ascii="Times New Roman" w:hAnsi="Times New Roman" w:cs="Times New Roman"/>
                <w:i/>
                <w:iCs/>
                <w:szCs w:val="24"/>
              </w:rPr>
              <w:t xml:space="preserve"> un nesošās troses vietās, kur ir nepieciešama kontakttīkla pārbūve. Galvenajiem ceļiem projektēt kontakttīklu ar </w:t>
            </w:r>
            <w:proofErr w:type="spellStart"/>
            <w:r w:rsidRPr="00FF3269">
              <w:rPr>
                <w:rFonts w:ascii="Times New Roman" w:hAnsi="Times New Roman" w:cs="Times New Roman"/>
                <w:b/>
                <w:bCs/>
                <w:i/>
                <w:iCs/>
                <w:szCs w:val="24"/>
                <w:u w:val="single"/>
              </w:rPr>
              <w:t>puskompensēto</w:t>
            </w:r>
            <w:proofErr w:type="spellEnd"/>
            <w:r w:rsidRPr="00FF3269">
              <w:rPr>
                <w:rFonts w:ascii="Times New Roman" w:hAnsi="Times New Roman" w:cs="Times New Roman"/>
                <w:b/>
                <w:bCs/>
                <w:i/>
                <w:iCs/>
                <w:szCs w:val="24"/>
                <w:u w:val="single"/>
              </w:rPr>
              <w:t xml:space="preserve"> piekari</w:t>
            </w:r>
            <w:r w:rsidRPr="00FF3269">
              <w:rPr>
                <w:rFonts w:ascii="Times New Roman" w:hAnsi="Times New Roman" w:cs="Times New Roman"/>
                <w:i/>
                <w:iCs/>
                <w:szCs w:val="24"/>
              </w:rPr>
              <w:t xml:space="preserve">, M120 markas nesošo trosi un diviem </w:t>
            </w:r>
            <w:proofErr w:type="spellStart"/>
            <w:r w:rsidRPr="00FF3269">
              <w:rPr>
                <w:rFonts w:ascii="Times New Roman" w:hAnsi="Times New Roman" w:cs="Times New Roman"/>
                <w:i/>
                <w:iCs/>
                <w:szCs w:val="24"/>
              </w:rPr>
              <w:t>kontaktvadiem</w:t>
            </w:r>
            <w:proofErr w:type="spellEnd"/>
            <w:r w:rsidRPr="00FF3269">
              <w:rPr>
                <w:rFonts w:ascii="Times New Roman" w:hAnsi="Times New Roman" w:cs="Times New Roman"/>
                <w:i/>
                <w:iCs/>
                <w:szCs w:val="24"/>
              </w:rPr>
              <w:t xml:space="preserve"> 100mm² šķērsgriezumā. Staciju elektrificētajās pārmiju pārejās - M120 markas nesošo trosi un vienu </w:t>
            </w:r>
            <w:proofErr w:type="spellStart"/>
            <w:r w:rsidRPr="00FF3269">
              <w:rPr>
                <w:rFonts w:ascii="Times New Roman" w:hAnsi="Times New Roman" w:cs="Times New Roman"/>
                <w:i/>
                <w:iCs/>
                <w:szCs w:val="24"/>
              </w:rPr>
              <w:t>kontaktvadu</w:t>
            </w:r>
            <w:proofErr w:type="spellEnd"/>
            <w:r w:rsidRPr="00FF3269">
              <w:rPr>
                <w:rFonts w:ascii="Times New Roman" w:hAnsi="Times New Roman" w:cs="Times New Roman"/>
                <w:i/>
                <w:iCs/>
                <w:szCs w:val="24"/>
              </w:rPr>
              <w:t xml:space="preserve"> 100mm² šķērsgriezumā. Projektā izmantot strāvu nesošas stīgas.</w:t>
            </w:r>
          </w:p>
          <w:p w:rsidR="00A741E4" w:rsidRPr="00FF3269" w:rsidRDefault="00A741E4" w:rsidP="00A741E4">
            <w:pPr>
              <w:rPr>
                <w:rFonts w:ascii="Times New Roman" w:hAnsi="Times New Roman" w:cs="Times New Roman"/>
                <w:i/>
                <w:iCs/>
                <w:szCs w:val="24"/>
              </w:rPr>
            </w:pP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un</w:t>
            </w: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Uzņēmējam nepieciešams pielietot enkurojuma mezglos izstrādājumus, kas tiek paredzēti</w:t>
            </w:r>
          </w:p>
          <w:p w:rsidR="00A741E4" w:rsidRPr="00FF3269" w:rsidRDefault="00A741E4" w:rsidP="00A741E4">
            <w:pPr>
              <w:rPr>
                <w:rFonts w:ascii="Times New Roman" w:hAnsi="Times New Roman" w:cs="Times New Roman"/>
                <w:b/>
                <w:bCs/>
                <w:i/>
                <w:iCs/>
                <w:szCs w:val="24"/>
                <w:u w:val="single"/>
              </w:rPr>
            </w:pPr>
            <w:r w:rsidRPr="00FF3269">
              <w:rPr>
                <w:rFonts w:ascii="Times New Roman" w:hAnsi="Times New Roman" w:cs="Times New Roman"/>
                <w:b/>
                <w:bCs/>
                <w:i/>
                <w:iCs/>
                <w:szCs w:val="24"/>
                <w:u w:val="single"/>
              </w:rPr>
              <w:t xml:space="preserve">kompensētai </w:t>
            </w:r>
            <w:proofErr w:type="spellStart"/>
            <w:r w:rsidRPr="00FF3269">
              <w:rPr>
                <w:rFonts w:ascii="Times New Roman" w:hAnsi="Times New Roman" w:cs="Times New Roman"/>
                <w:b/>
                <w:bCs/>
                <w:i/>
                <w:iCs/>
                <w:szCs w:val="24"/>
                <w:u w:val="single"/>
              </w:rPr>
              <w:t>piekarei</w:t>
            </w:r>
            <w:proofErr w:type="spellEnd"/>
            <w:r w:rsidRPr="00FF3269">
              <w:rPr>
                <w:rFonts w:ascii="Times New Roman" w:hAnsi="Times New Roman" w:cs="Times New Roman"/>
                <w:b/>
                <w:bCs/>
                <w:i/>
                <w:iCs/>
                <w:szCs w:val="24"/>
                <w:u w:val="single"/>
              </w:rPr>
              <w:t>.</w:t>
            </w: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lūdzam precizēt, kāda kompensācija ir paredzēta kontakttīkla pārbūves/izbūves ietvaros;</w:t>
            </w:r>
          </w:p>
          <w:p w:rsidR="00A741E4" w:rsidRPr="00FF3269" w:rsidRDefault="00A741E4" w:rsidP="00A741E4">
            <w:pPr>
              <w:rPr>
                <w:rFonts w:ascii="Times New Roman" w:hAnsi="Times New Roman" w:cs="Times New Roman"/>
                <w:color w:val="000000"/>
                <w:szCs w:val="24"/>
              </w:rPr>
            </w:pPr>
            <w:r w:rsidRPr="00FF3269">
              <w:rPr>
                <w:rFonts w:ascii="Times New Roman" w:hAnsi="Times New Roman" w:cs="Times New Roman"/>
                <w:szCs w:val="24"/>
              </w:rPr>
              <w:t>lūdzam specificēt, kas tiek domāts ar enkurojuma mezglu izstrādājumiem.</w:t>
            </w:r>
          </w:p>
        </w:tc>
        <w:tc>
          <w:tcPr>
            <w:tcW w:w="4111" w:type="dxa"/>
            <w:shd w:val="clear" w:color="auto" w:fill="auto"/>
          </w:tcPr>
          <w:p w:rsidR="00A741E4" w:rsidRDefault="00A741E4" w:rsidP="00A741E4">
            <w:pPr>
              <w:spacing w:before="120"/>
              <w:rPr>
                <w:rFonts w:ascii="Times New Roman" w:hAnsi="Times New Roman" w:cs="Times New Roman"/>
                <w:bCs/>
                <w:iCs/>
                <w:szCs w:val="24"/>
              </w:rPr>
            </w:pPr>
            <w:r w:rsidRPr="009011E1">
              <w:rPr>
                <w:rFonts w:ascii="Times New Roman" w:hAnsi="Times New Roman" w:cs="Times New Roman"/>
                <w:szCs w:val="24"/>
              </w:rPr>
              <w:t>Kontakttīkla pārbūves/izbūves ietvaros</w:t>
            </w:r>
            <w:r w:rsidRPr="009011E1">
              <w:rPr>
                <w:rFonts w:ascii="Times New Roman" w:hAnsi="Times New Roman" w:cs="Times New Roman"/>
                <w:bCs/>
                <w:iCs/>
                <w:szCs w:val="24"/>
              </w:rPr>
              <w:t xml:space="preserve"> ir paredzēta </w:t>
            </w:r>
            <w:proofErr w:type="spellStart"/>
            <w:r w:rsidRPr="009011E1">
              <w:rPr>
                <w:rFonts w:ascii="Times New Roman" w:hAnsi="Times New Roman" w:cs="Times New Roman"/>
                <w:bCs/>
                <w:iCs/>
                <w:szCs w:val="24"/>
              </w:rPr>
              <w:t>puskompensētā</w:t>
            </w:r>
            <w:proofErr w:type="spellEnd"/>
            <w:r w:rsidRPr="009011E1">
              <w:rPr>
                <w:rFonts w:ascii="Times New Roman" w:hAnsi="Times New Roman" w:cs="Times New Roman"/>
                <w:bCs/>
                <w:iCs/>
                <w:szCs w:val="24"/>
              </w:rPr>
              <w:t xml:space="preserve"> </w:t>
            </w:r>
            <w:proofErr w:type="spellStart"/>
            <w:r w:rsidRPr="009011E1">
              <w:rPr>
                <w:rFonts w:ascii="Times New Roman" w:hAnsi="Times New Roman" w:cs="Times New Roman"/>
                <w:bCs/>
                <w:iCs/>
                <w:szCs w:val="24"/>
              </w:rPr>
              <w:t>piekare</w:t>
            </w:r>
            <w:proofErr w:type="spellEnd"/>
            <w:r w:rsidRPr="009011E1">
              <w:rPr>
                <w:rFonts w:ascii="Times New Roman" w:hAnsi="Times New Roman" w:cs="Times New Roman"/>
                <w:bCs/>
                <w:iCs/>
                <w:szCs w:val="24"/>
              </w:rPr>
              <w:t>.</w:t>
            </w:r>
          </w:p>
          <w:p w:rsidR="00A741E4" w:rsidRDefault="00A741E4" w:rsidP="00A741E4">
            <w:pPr>
              <w:spacing w:before="120"/>
              <w:rPr>
                <w:rFonts w:ascii="Times New Roman" w:hAnsi="Times New Roman" w:cs="Times New Roman"/>
                <w:bCs/>
                <w:iCs/>
                <w:szCs w:val="24"/>
              </w:rPr>
            </w:pPr>
            <w:r w:rsidRPr="00170B2D">
              <w:rPr>
                <w:rFonts w:ascii="Times New Roman" w:hAnsi="Times New Roman" w:cs="Times New Roman"/>
                <w:szCs w:val="24"/>
              </w:rPr>
              <w:t>Enkurojuma</w:t>
            </w:r>
            <w:r>
              <w:rPr>
                <w:rFonts w:ascii="Times New Roman" w:hAnsi="Times New Roman" w:cs="Times New Roman"/>
                <w:szCs w:val="24"/>
              </w:rPr>
              <w:t xml:space="preserve">  mezgls ir mehānisms, kas nodrošina </w:t>
            </w:r>
            <w:proofErr w:type="spellStart"/>
            <w:r>
              <w:rPr>
                <w:rFonts w:ascii="Times New Roman" w:hAnsi="Times New Roman" w:cs="Times New Roman"/>
                <w:szCs w:val="24"/>
              </w:rPr>
              <w:t>kontaktvada</w:t>
            </w:r>
            <w:proofErr w:type="spellEnd"/>
            <w:r>
              <w:rPr>
                <w:rFonts w:ascii="Times New Roman" w:hAnsi="Times New Roman" w:cs="Times New Roman"/>
                <w:szCs w:val="24"/>
              </w:rPr>
              <w:t xml:space="preserve"> un nesošās troses nospriegojumu.  </w:t>
            </w:r>
          </w:p>
          <w:p w:rsidR="00A741E4" w:rsidRDefault="00A741E4" w:rsidP="00A741E4">
            <w:pPr>
              <w:spacing w:before="120"/>
              <w:rPr>
                <w:rFonts w:ascii="Times New Roman" w:hAnsi="Times New Roman" w:cs="Times New Roman"/>
                <w:bCs/>
                <w:iCs/>
                <w:szCs w:val="24"/>
              </w:rPr>
            </w:pPr>
          </w:p>
          <w:p w:rsidR="00A741E4" w:rsidRPr="009011E1" w:rsidRDefault="00A741E4" w:rsidP="00A741E4">
            <w:pPr>
              <w:spacing w:before="120"/>
              <w:rPr>
                <w:rFonts w:ascii="Times New Roman" w:hAnsi="Times New Roman" w:cs="Times New Roman"/>
                <w:color w:val="000000"/>
                <w:szCs w:val="24"/>
              </w:rPr>
            </w:pP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11.</w:t>
            </w:r>
          </w:p>
        </w:tc>
        <w:tc>
          <w:tcPr>
            <w:tcW w:w="4775" w:type="dxa"/>
            <w:shd w:val="clear" w:color="auto" w:fill="auto"/>
          </w:tcPr>
          <w:p w:rsidR="00A741E4" w:rsidRPr="00FF3269" w:rsidRDefault="00A741E4" w:rsidP="00A741E4">
            <w:pPr>
              <w:rPr>
                <w:rFonts w:ascii="Times New Roman" w:hAnsi="Times New Roman" w:cs="Times New Roman"/>
                <w:szCs w:val="24"/>
              </w:rPr>
            </w:pPr>
            <w:r w:rsidRPr="00FF3269">
              <w:rPr>
                <w:rFonts w:ascii="Times New Roman" w:hAnsi="Times New Roman" w:cs="Times New Roman"/>
                <w:szCs w:val="24"/>
              </w:rPr>
              <w:t>Atsaucoties uz 4. sējuma 2. sadaļas prasībām:</w:t>
            </w: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 xml:space="preserve">Mangaļu stacijas pārbūves gaitā nodrošināt pārmiju pāreju 1-3 elektrificēšanu. Pārbūvējot esošo elektrificēto pārmiju pāreju 1-3, nomainīt tuvumā esošos balstus Nr.57, 58 ar stingrām šķērssijām pret jauniem metāla balstiem ar stingrām šķērssijām. Sakarā ar ceļa izmaiņām un jaunā ceļa elektrificēšanu, </w:t>
            </w:r>
            <w:r w:rsidRPr="00FF3269">
              <w:rPr>
                <w:rFonts w:ascii="Times New Roman" w:hAnsi="Times New Roman" w:cs="Times New Roman"/>
                <w:b/>
                <w:bCs/>
                <w:i/>
                <w:iCs/>
                <w:szCs w:val="24"/>
                <w:u w:val="single"/>
              </w:rPr>
              <w:t>vietās, kur nepieciešams</w:t>
            </w:r>
            <w:r w:rsidRPr="00FF3269">
              <w:rPr>
                <w:rFonts w:ascii="Times New Roman" w:hAnsi="Times New Roman" w:cs="Times New Roman"/>
                <w:i/>
                <w:iCs/>
                <w:szCs w:val="24"/>
              </w:rPr>
              <w:t>, no balsta Nr.73 līdz balstam Nr.57 nomainīt esošos balstus pret jauniem metāla balstiem ar konsolēm. Nomainīt esošos balstus Nr.58A, 61, 63, 65, 67, 69, 71, 73 pret jauniem metāla balstiem ar konsolēm. Enkura balstus aprīkot ar jaunām kompensācijas iekārtām. Visiem palikušajiem (no balsta Nr.73 līdz balstam Nr.57) betona balstiem nomainīt vecās konsoles pret jaunām.</w:t>
            </w:r>
          </w:p>
          <w:p w:rsidR="00A741E4" w:rsidRPr="00FF3269" w:rsidRDefault="00A741E4" w:rsidP="00A741E4">
            <w:pPr>
              <w:rPr>
                <w:rFonts w:ascii="Times New Roman" w:hAnsi="Times New Roman" w:cs="Times New Roman"/>
                <w:i/>
                <w:iCs/>
                <w:szCs w:val="24"/>
              </w:rPr>
            </w:pP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un</w:t>
            </w:r>
          </w:p>
          <w:p w:rsidR="00A741E4" w:rsidRPr="00FF3269" w:rsidRDefault="00A741E4" w:rsidP="00A741E4">
            <w:pPr>
              <w:rPr>
                <w:rFonts w:ascii="Times New Roman" w:hAnsi="Times New Roman" w:cs="Times New Roman"/>
                <w:i/>
                <w:iCs/>
                <w:szCs w:val="24"/>
              </w:rPr>
            </w:pP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 xml:space="preserve">Posmā Mangaļi – Ziemeļblāzma uz tilta pāri Mīlgrāvja kanālam veikt esošo (nenoslogoto) </w:t>
            </w:r>
            <w:r w:rsidRPr="00FF3269">
              <w:rPr>
                <w:rFonts w:ascii="Times New Roman" w:hAnsi="Times New Roman" w:cs="Times New Roman"/>
                <w:i/>
                <w:iCs/>
                <w:szCs w:val="24"/>
              </w:rPr>
              <w:lastRenderedPageBreak/>
              <w:t xml:space="preserve">kontakttīkla pamatu un dzelzsbetona balstu nomaiņu (pret metāla) </w:t>
            </w:r>
            <w:proofErr w:type="spellStart"/>
            <w:r w:rsidRPr="00FF3269">
              <w:rPr>
                <w:rFonts w:ascii="Times New Roman" w:hAnsi="Times New Roman" w:cs="Times New Roman"/>
                <w:i/>
                <w:iCs/>
                <w:szCs w:val="24"/>
              </w:rPr>
              <w:t>piekāres</w:t>
            </w:r>
            <w:proofErr w:type="spellEnd"/>
            <w:r w:rsidRPr="00FF3269">
              <w:rPr>
                <w:rFonts w:ascii="Times New Roman" w:hAnsi="Times New Roman" w:cs="Times New Roman"/>
                <w:i/>
                <w:iCs/>
                <w:szCs w:val="24"/>
              </w:rPr>
              <w:t xml:space="preserve"> nostiprināšanai projektējamajam elektrificējamajam otrajam sliežu ceļam. Esošajam elektrificētajam sliežu ceļam uz tilta pāri Mīlgrāvja kanālam ieprojektēt un uzstādīt jaunas konsoles uz esošajiem betona balstiem (pamatu un balstu var nemainīt). Sakarā ar sliežu ceļa izmaiņām posmā Mangaļi – Ziemeļblāzma no balsta Nr.1 līdz balstam Nr.35 </w:t>
            </w:r>
            <w:r w:rsidRPr="00FF3269">
              <w:rPr>
                <w:rFonts w:ascii="Times New Roman" w:hAnsi="Times New Roman" w:cs="Times New Roman"/>
                <w:b/>
                <w:bCs/>
                <w:i/>
                <w:iCs/>
                <w:szCs w:val="24"/>
                <w:u w:val="single"/>
              </w:rPr>
              <w:t>vietās, kur nepieciešam</w:t>
            </w:r>
            <w:r w:rsidRPr="00FF3269">
              <w:rPr>
                <w:rFonts w:ascii="Times New Roman" w:hAnsi="Times New Roman" w:cs="Times New Roman"/>
                <w:i/>
                <w:iCs/>
                <w:szCs w:val="24"/>
              </w:rPr>
              <w:t>s, nomainīt esošos balstus pret jauniem metāla balstiem ar konsolēm. Visiem pārējiem esošiem kontakttīkla balstiem nepieciešams nomainīt tikai konsoles, lai iecirknī nodrošinātu vienāda tipa izolētas konsoles. Enkura balstus aprīkot ar jaunām kompensācijas iekārtām.</w:t>
            </w: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 xml:space="preserve">lūdzam </w:t>
            </w:r>
            <w:r w:rsidRPr="00FF3269">
              <w:rPr>
                <w:rFonts w:ascii="Times New Roman" w:hAnsi="Times New Roman" w:cs="Times New Roman"/>
                <w:b/>
                <w:bCs/>
                <w:szCs w:val="24"/>
                <w:u w:val="single"/>
              </w:rPr>
              <w:t>konkrēti</w:t>
            </w:r>
            <w:r w:rsidRPr="00FF3269">
              <w:rPr>
                <w:rFonts w:ascii="Times New Roman" w:hAnsi="Times New Roman" w:cs="Times New Roman"/>
                <w:szCs w:val="24"/>
              </w:rPr>
              <w:t xml:space="preserve"> precizēt tās vietas (atsauce uz pasvītroto), kur nepieciešams veikt augstāk aprakstītos darbus.</w:t>
            </w:r>
          </w:p>
          <w:p w:rsidR="00A741E4" w:rsidRPr="00FF3269" w:rsidRDefault="00A741E4" w:rsidP="00A741E4">
            <w:pPr>
              <w:rPr>
                <w:rFonts w:ascii="Times New Roman" w:hAnsi="Times New Roman" w:cs="Times New Roman"/>
                <w:color w:val="000000"/>
                <w:szCs w:val="24"/>
              </w:rPr>
            </w:pPr>
          </w:p>
        </w:tc>
        <w:tc>
          <w:tcPr>
            <w:tcW w:w="4111" w:type="dxa"/>
            <w:shd w:val="clear" w:color="auto" w:fill="auto"/>
          </w:tcPr>
          <w:p w:rsidR="00A741E4" w:rsidRPr="00170B2D" w:rsidRDefault="00A741E4" w:rsidP="00A741E4">
            <w:pPr>
              <w:spacing w:before="120"/>
              <w:rPr>
                <w:rFonts w:ascii="Times New Roman" w:hAnsi="Times New Roman" w:cs="Times New Roman"/>
                <w:color w:val="000000"/>
                <w:szCs w:val="24"/>
              </w:rPr>
            </w:pPr>
            <w:r w:rsidRPr="00170B2D">
              <w:rPr>
                <w:rFonts w:ascii="Times New Roman" w:hAnsi="Times New Roman" w:cs="Times New Roman"/>
                <w:color w:val="000000"/>
                <w:szCs w:val="24"/>
              </w:rPr>
              <w:lastRenderedPageBreak/>
              <w:t xml:space="preserve">Saskaņā ar Pasūtītāja prasību 1.sejuma 3.punkta 1.apakšunktu Uzņēmējam ir jāizstrādā būvprojekts un jāpārbūvē stacijas Mangaļi parka “A”  nepāra  un parka Ziemeļblāzma pāra sliežu ceļu </w:t>
            </w:r>
            <w:proofErr w:type="spellStart"/>
            <w:r w:rsidRPr="00170B2D">
              <w:rPr>
                <w:rFonts w:ascii="Times New Roman" w:hAnsi="Times New Roman" w:cs="Times New Roman"/>
                <w:color w:val="000000"/>
                <w:szCs w:val="24"/>
              </w:rPr>
              <w:t>kopsavienojumi</w:t>
            </w:r>
            <w:proofErr w:type="spellEnd"/>
            <w:r w:rsidRPr="00170B2D">
              <w:rPr>
                <w:rFonts w:ascii="Times New Roman" w:hAnsi="Times New Roman" w:cs="Times New Roman"/>
                <w:color w:val="000000"/>
                <w:szCs w:val="24"/>
              </w:rPr>
              <w:t>, kā arī jāizbūvē posmā Mangaļi – Ziemeļblāzma otrais sliežu ceļš. Demontējamie esošie balsti un to skaits, kā arī uzstādāmo jauno metāla balstu skaits un izvietojums ir atkarīgs no Uzņēmēja izstrādātā būvprojekta</w:t>
            </w:r>
            <w:r>
              <w:rPr>
                <w:rFonts w:ascii="Times New Roman" w:hAnsi="Times New Roman" w:cs="Times New Roman"/>
                <w:color w:val="000000"/>
                <w:szCs w:val="24"/>
              </w:rPr>
              <w:t xml:space="preserve"> sadaļām</w:t>
            </w:r>
            <w:r w:rsidRPr="00170B2D">
              <w:rPr>
                <w:rFonts w:ascii="Times New Roman" w:hAnsi="Times New Roman" w:cs="Times New Roman"/>
                <w:color w:val="000000"/>
                <w:szCs w:val="24"/>
              </w:rPr>
              <w:t xml:space="preserve"> “Sliežu ceļi” </w:t>
            </w:r>
            <w:r>
              <w:rPr>
                <w:rFonts w:ascii="Times New Roman" w:hAnsi="Times New Roman" w:cs="Times New Roman"/>
                <w:color w:val="000000"/>
                <w:szCs w:val="24"/>
              </w:rPr>
              <w:t>un “Kontakttīkls” risinājumiem</w:t>
            </w:r>
            <w:r w:rsidRPr="00170B2D">
              <w:rPr>
                <w:rFonts w:ascii="Times New Roman" w:hAnsi="Times New Roman" w:cs="Times New Roman"/>
                <w:color w:val="000000"/>
                <w:szCs w:val="24"/>
              </w:rPr>
              <w:t xml:space="preserve">.    </w:t>
            </w:r>
          </w:p>
        </w:tc>
      </w:tr>
      <w:tr w:rsidR="00A741E4" w:rsidRPr="00FF3269" w:rsidTr="00907A48">
        <w:trPr>
          <w:trHeight w:val="699"/>
          <w:jc w:val="center"/>
        </w:trPr>
        <w:tc>
          <w:tcPr>
            <w:tcW w:w="890" w:type="dxa"/>
            <w:shd w:val="clear" w:color="auto" w:fill="auto"/>
          </w:tcPr>
          <w:p w:rsidR="00A741E4" w:rsidRPr="00FF3269" w:rsidRDefault="00A741E4" w:rsidP="00A741E4">
            <w:pPr>
              <w:pStyle w:val="ListParagraph"/>
              <w:spacing w:before="120"/>
              <w:ind w:left="0" w:right="282"/>
              <w:contextualSpacing w:val="0"/>
              <w:jc w:val="center"/>
              <w:rPr>
                <w:rFonts w:ascii="Times New Roman" w:hAnsi="Times New Roman" w:cs="Times New Roman"/>
                <w:b/>
                <w:szCs w:val="24"/>
              </w:rPr>
            </w:pPr>
            <w:r w:rsidRPr="00FF3269">
              <w:rPr>
                <w:rFonts w:ascii="Times New Roman" w:hAnsi="Times New Roman" w:cs="Times New Roman"/>
                <w:b/>
                <w:szCs w:val="24"/>
              </w:rPr>
              <w:t>12.</w:t>
            </w:r>
          </w:p>
        </w:tc>
        <w:tc>
          <w:tcPr>
            <w:tcW w:w="4775" w:type="dxa"/>
            <w:shd w:val="clear" w:color="auto" w:fill="auto"/>
          </w:tcPr>
          <w:p w:rsidR="00A741E4" w:rsidRPr="00FF3269" w:rsidRDefault="00A741E4" w:rsidP="00A741E4">
            <w:pPr>
              <w:rPr>
                <w:rFonts w:ascii="Times New Roman" w:hAnsi="Times New Roman" w:cs="Times New Roman"/>
                <w:szCs w:val="24"/>
              </w:rPr>
            </w:pPr>
            <w:r w:rsidRPr="00FF3269">
              <w:rPr>
                <w:rFonts w:ascii="Times New Roman" w:hAnsi="Times New Roman" w:cs="Times New Roman"/>
                <w:szCs w:val="24"/>
              </w:rPr>
              <w:t>Atsaucoties uz 4. sējuma 2. sadaļas prasību:</w:t>
            </w:r>
          </w:p>
          <w:p w:rsidR="00A741E4" w:rsidRPr="00FF3269" w:rsidRDefault="00A741E4" w:rsidP="00A741E4">
            <w:pPr>
              <w:rPr>
                <w:rFonts w:ascii="Times New Roman" w:hAnsi="Times New Roman" w:cs="Times New Roman"/>
                <w:i/>
                <w:iCs/>
                <w:szCs w:val="24"/>
              </w:rPr>
            </w:pPr>
            <w:r w:rsidRPr="00FF3269">
              <w:rPr>
                <w:rFonts w:ascii="Times New Roman" w:hAnsi="Times New Roman" w:cs="Times New Roman"/>
                <w:i/>
                <w:iCs/>
                <w:szCs w:val="24"/>
              </w:rPr>
              <w:t>Enkura balstus aprīkot ar jaunām kompensācijas iekārtām.</w:t>
            </w:r>
          </w:p>
          <w:p w:rsidR="00A741E4" w:rsidRPr="00FF3269" w:rsidRDefault="00A741E4" w:rsidP="00A741E4">
            <w:pPr>
              <w:pStyle w:val="ListParagraph"/>
              <w:numPr>
                <w:ilvl w:val="0"/>
                <w:numId w:val="47"/>
              </w:numPr>
              <w:ind w:left="414"/>
              <w:rPr>
                <w:rFonts w:ascii="Times New Roman" w:hAnsi="Times New Roman" w:cs="Times New Roman"/>
                <w:szCs w:val="24"/>
              </w:rPr>
            </w:pPr>
            <w:r w:rsidRPr="00FF3269">
              <w:rPr>
                <w:rFonts w:ascii="Times New Roman" w:hAnsi="Times New Roman" w:cs="Times New Roman"/>
                <w:szCs w:val="24"/>
              </w:rPr>
              <w:t>lūdzam precizēt, vai paši enkura balsti arī ir jānomaina pret jaunajiem.</w:t>
            </w:r>
          </w:p>
        </w:tc>
        <w:tc>
          <w:tcPr>
            <w:tcW w:w="4111" w:type="dxa"/>
            <w:shd w:val="clear" w:color="auto" w:fill="auto"/>
          </w:tcPr>
          <w:p w:rsidR="00A741E4" w:rsidRPr="00170B2D" w:rsidRDefault="00A741E4" w:rsidP="00A741E4">
            <w:pPr>
              <w:spacing w:before="120"/>
              <w:rPr>
                <w:rFonts w:ascii="Times New Roman" w:hAnsi="Times New Roman" w:cs="Times New Roman"/>
                <w:color w:val="000000"/>
                <w:szCs w:val="24"/>
              </w:rPr>
            </w:pPr>
            <w:r w:rsidRPr="00170B2D">
              <w:rPr>
                <w:rFonts w:ascii="Times New Roman" w:hAnsi="Times New Roman" w:cs="Times New Roman"/>
                <w:color w:val="000000"/>
                <w:szCs w:val="24"/>
              </w:rPr>
              <w:t>Uzņēmējam ir jānomaina Pasūtītāja prasībās konkrēti norādīt</w:t>
            </w:r>
            <w:r>
              <w:rPr>
                <w:rFonts w:ascii="Times New Roman" w:hAnsi="Times New Roman" w:cs="Times New Roman"/>
                <w:color w:val="000000"/>
                <w:szCs w:val="24"/>
              </w:rPr>
              <w:t>ie</w:t>
            </w:r>
            <w:r w:rsidRPr="00170B2D">
              <w:rPr>
                <w:rFonts w:ascii="Times New Roman" w:hAnsi="Times New Roman" w:cs="Times New Roman"/>
                <w:color w:val="000000"/>
                <w:szCs w:val="24"/>
              </w:rPr>
              <w:t xml:space="preserve"> esoš</w:t>
            </w:r>
            <w:r>
              <w:rPr>
                <w:rFonts w:ascii="Times New Roman" w:hAnsi="Times New Roman" w:cs="Times New Roman"/>
                <w:color w:val="000000"/>
                <w:szCs w:val="24"/>
              </w:rPr>
              <w:t>ie</w:t>
            </w:r>
            <w:r w:rsidRPr="00170B2D">
              <w:rPr>
                <w:rFonts w:ascii="Times New Roman" w:hAnsi="Times New Roman" w:cs="Times New Roman"/>
                <w:color w:val="000000"/>
                <w:szCs w:val="24"/>
              </w:rPr>
              <w:t xml:space="preserve"> balst</w:t>
            </w:r>
            <w:r>
              <w:rPr>
                <w:rFonts w:ascii="Times New Roman" w:hAnsi="Times New Roman" w:cs="Times New Roman"/>
                <w:color w:val="000000"/>
                <w:szCs w:val="24"/>
              </w:rPr>
              <w:t>i</w:t>
            </w:r>
            <w:r w:rsidRPr="00170B2D">
              <w:rPr>
                <w:rFonts w:ascii="Times New Roman" w:hAnsi="Times New Roman" w:cs="Times New Roman"/>
                <w:color w:val="000000"/>
                <w:szCs w:val="24"/>
              </w:rPr>
              <w:t xml:space="preserve"> (t.sk. </w:t>
            </w:r>
            <w:proofErr w:type="spellStart"/>
            <w:r w:rsidRPr="00170B2D">
              <w:rPr>
                <w:rFonts w:ascii="Times New Roman" w:hAnsi="Times New Roman" w:cs="Times New Roman"/>
                <w:color w:val="000000"/>
                <w:szCs w:val="24"/>
              </w:rPr>
              <w:t>enkurbalst</w:t>
            </w:r>
            <w:r>
              <w:rPr>
                <w:rFonts w:ascii="Times New Roman" w:hAnsi="Times New Roman" w:cs="Times New Roman"/>
                <w:color w:val="000000"/>
                <w:szCs w:val="24"/>
              </w:rPr>
              <w:t>i</w:t>
            </w:r>
            <w:proofErr w:type="spellEnd"/>
            <w:r w:rsidRPr="00170B2D">
              <w:rPr>
                <w:rFonts w:ascii="Times New Roman" w:hAnsi="Times New Roman" w:cs="Times New Roman"/>
                <w:color w:val="000000"/>
                <w:szCs w:val="24"/>
              </w:rPr>
              <w:t xml:space="preserve">) un ar </w:t>
            </w:r>
            <w:r w:rsidRPr="00170B2D">
              <w:rPr>
                <w:rFonts w:ascii="Times New Roman" w:hAnsi="Times New Roman" w:cs="Times New Roman"/>
                <w:iCs/>
                <w:szCs w:val="24"/>
              </w:rPr>
              <w:t>sliežu ceļa pārbūves izmaiņām saistīt</w:t>
            </w:r>
            <w:r>
              <w:rPr>
                <w:rFonts w:ascii="Times New Roman" w:hAnsi="Times New Roman" w:cs="Times New Roman"/>
                <w:iCs/>
                <w:szCs w:val="24"/>
              </w:rPr>
              <w:t>ie</w:t>
            </w:r>
            <w:r w:rsidRPr="00170B2D">
              <w:rPr>
                <w:rFonts w:ascii="Times New Roman" w:hAnsi="Times New Roman" w:cs="Times New Roman"/>
                <w:iCs/>
                <w:szCs w:val="24"/>
              </w:rPr>
              <w:t xml:space="preserve"> nomainām</w:t>
            </w:r>
            <w:r>
              <w:rPr>
                <w:rFonts w:ascii="Times New Roman" w:hAnsi="Times New Roman" w:cs="Times New Roman"/>
                <w:iCs/>
                <w:szCs w:val="24"/>
              </w:rPr>
              <w:t>ie</w:t>
            </w:r>
            <w:r w:rsidRPr="00170B2D">
              <w:rPr>
                <w:rFonts w:ascii="Times New Roman" w:hAnsi="Times New Roman" w:cs="Times New Roman"/>
                <w:iCs/>
                <w:szCs w:val="24"/>
              </w:rPr>
              <w:t xml:space="preserve">  </w:t>
            </w:r>
            <w:r w:rsidRPr="00170B2D">
              <w:rPr>
                <w:rFonts w:ascii="Times New Roman" w:hAnsi="Times New Roman" w:cs="Times New Roman"/>
                <w:color w:val="000000"/>
                <w:szCs w:val="24"/>
              </w:rPr>
              <w:t>balst</w:t>
            </w:r>
            <w:r>
              <w:rPr>
                <w:rFonts w:ascii="Times New Roman" w:hAnsi="Times New Roman" w:cs="Times New Roman"/>
                <w:color w:val="000000"/>
                <w:szCs w:val="24"/>
              </w:rPr>
              <w:t>i</w:t>
            </w:r>
            <w:r w:rsidRPr="00170B2D">
              <w:rPr>
                <w:rFonts w:ascii="Times New Roman" w:hAnsi="Times New Roman" w:cs="Times New Roman"/>
                <w:color w:val="000000"/>
                <w:szCs w:val="24"/>
              </w:rPr>
              <w:t xml:space="preserve"> (t.sk. </w:t>
            </w:r>
            <w:proofErr w:type="spellStart"/>
            <w:r w:rsidRPr="00170B2D">
              <w:rPr>
                <w:rFonts w:ascii="Times New Roman" w:hAnsi="Times New Roman" w:cs="Times New Roman"/>
                <w:color w:val="000000"/>
                <w:szCs w:val="24"/>
              </w:rPr>
              <w:t>enkurbalst</w:t>
            </w:r>
            <w:r>
              <w:rPr>
                <w:rFonts w:ascii="Times New Roman" w:hAnsi="Times New Roman" w:cs="Times New Roman"/>
                <w:color w:val="000000"/>
                <w:szCs w:val="24"/>
              </w:rPr>
              <w:t>i</w:t>
            </w:r>
            <w:proofErr w:type="spellEnd"/>
            <w:r w:rsidRPr="00170B2D">
              <w:rPr>
                <w:rFonts w:ascii="Times New Roman" w:hAnsi="Times New Roman" w:cs="Times New Roman"/>
                <w:color w:val="000000"/>
                <w:szCs w:val="24"/>
              </w:rPr>
              <w:t xml:space="preserve">). </w:t>
            </w:r>
          </w:p>
        </w:tc>
      </w:tr>
      <w:tr w:rsidR="00FF3269" w:rsidRPr="00FF3269" w:rsidTr="00A60CF6">
        <w:trPr>
          <w:trHeight w:val="699"/>
          <w:jc w:val="center"/>
        </w:trPr>
        <w:tc>
          <w:tcPr>
            <w:tcW w:w="890" w:type="dxa"/>
            <w:shd w:val="clear" w:color="auto" w:fill="auto"/>
          </w:tcPr>
          <w:p w:rsidR="00FF3269" w:rsidRPr="00FF3269" w:rsidRDefault="00FF3269" w:rsidP="00FF3269">
            <w:pPr>
              <w:pStyle w:val="ListParagraph"/>
              <w:spacing w:before="120"/>
              <w:ind w:left="0" w:right="282"/>
              <w:contextualSpacing w:val="0"/>
              <w:jc w:val="center"/>
              <w:rPr>
                <w:rFonts w:ascii="Times New Roman" w:hAnsi="Times New Roman" w:cs="Times New Roman"/>
                <w:b/>
                <w:szCs w:val="24"/>
              </w:rPr>
            </w:pPr>
            <w:bookmarkStart w:id="2" w:name="_Hlk14779763"/>
            <w:bookmarkStart w:id="3" w:name="_Hlk16777920"/>
            <w:r>
              <w:rPr>
                <w:rFonts w:ascii="Times New Roman" w:hAnsi="Times New Roman" w:cs="Times New Roman"/>
                <w:b/>
                <w:szCs w:val="24"/>
              </w:rPr>
              <w:t>1</w:t>
            </w:r>
            <w:r w:rsidR="00864F83">
              <w:rPr>
                <w:rFonts w:ascii="Times New Roman" w:hAnsi="Times New Roman" w:cs="Times New Roman"/>
                <w:b/>
                <w:szCs w:val="24"/>
              </w:rPr>
              <w:t>3</w:t>
            </w:r>
            <w:r>
              <w:rPr>
                <w:rFonts w:ascii="Times New Roman" w:hAnsi="Times New Roman" w:cs="Times New Roman"/>
                <w:b/>
                <w:szCs w:val="24"/>
              </w:rPr>
              <w:t>.</w:t>
            </w:r>
          </w:p>
        </w:tc>
        <w:tc>
          <w:tcPr>
            <w:tcW w:w="4775" w:type="dxa"/>
            <w:shd w:val="clear" w:color="auto" w:fill="auto"/>
            <w:vAlign w:val="center"/>
          </w:tcPr>
          <w:p w:rsidR="00FF3269" w:rsidRPr="00864F83" w:rsidRDefault="00FF3269" w:rsidP="00FF3269">
            <w:pPr>
              <w:spacing w:before="100" w:beforeAutospacing="1" w:after="165"/>
              <w:rPr>
                <w:rFonts w:ascii="Times New Roman" w:eastAsia="Times New Roman" w:hAnsi="Times New Roman" w:cs="Times New Roman"/>
                <w:szCs w:val="24"/>
              </w:rPr>
            </w:pPr>
            <w:r w:rsidRPr="00864F83">
              <w:rPr>
                <w:rFonts w:ascii="Times New Roman" w:eastAsia="Times New Roman" w:hAnsi="Times New Roman" w:cs="Times New Roman"/>
                <w:szCs w:val="24"/>
              </w:rPr>
              <w:t xml:space="preserve">Lūdzu skaidrot vai atbilstoši iepirkumu ID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2019/17-IB/6.2.1.2/16/I/002/01-04;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2019/7-IB/6.2.1.2/16/I/003/01-04;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2019/5-IB/6.2.1.2/16/I/001/01-04 Nolikumu 6.4.punkta prasībām (par ESPD iesniegšanu) Pretendents būs izpildījis nolikuma prasības, ja ESPD iesniegs tikai par ārvalstīs reģistrētām vai patstāvīgi dzīvojošām personām, bet par LR reģistrētām vai patstāvīgi dzīvojošām personām neiesniegs, jo par LR personām Pasūtītājs var pārliecināties atbilstošās datu bāzēs.</w:t>
            </w:r>
          </w:p>
        </w:tc>
        <w:tc>
          <w:tcPr>
            <w:tcW w:w="4111" w:type="dxa"/>
            <w:shd w:val="clear" w:color="auto" w:fill="auto"/>
          </w:tcPr>
          <w:p w:rsidR="00FF3269" w:rsidRPr="00864F83" w:rsidRDefault="00864F83" w:rsidP="00FF3269">
            <w:pPr>
              <w:spacing w:after="120"/>
              <w:rPr>
                <w:rFonts w:ascii="Times New Roman" w:hAnsi="Times New Roman" w:cs="Times New Roman"/>
                <w:color w:val="000000"/>
                <w:szCs w:val="24"/>
              </w:rPr>
            </w:pPr>
            <w:r w:rsidRPr="00864F83">
              <w:rPr>
                <w:rFonts w:ascii="Times New Roman" w:eastAsia="Times New Roman" w:hAnsi="Times New Roman" w:cs="Times New Roman"/>
                <w:szCs w:val="24"/>
              </w:rPr>
              <w:t>A</w:t>
            </w:r>
            <w:r w:rsidRPr="00864F83">
              <w:rPr>
                <w:rFonts w:ascii="Times New Roman" w:eastAsia="Times New Roman" w:hAnsi="Times New Roman" w:cs="Times New Roman"/>
                <w:szCs w:val="24"/>
              </w:rPr>
              <w:t>tbilstoši iepirkumu Nolikum</w:t>
            </w:r>
            <w:r w:rsidRPr="00864F83">
              <w:rPr>
                <w:rFonts w:ascii="Times New Roman" w:eastAsia="Times New Roman" w:hAnsi="Times New Roman" w:cs="Times New Roman"/>
                <w:szCs w:val="24"/>
              </w:rPr>
              <w:t>a</w:t>
            </w:r>
            <w:r w:rsidRPr="00864F83">
              <w:rPr>
                <w:rFonts w:ascii="Times New Roman" w:eastAsia="Times New Roman" w:hAnsi="Times New Roman" w:cs="Times New Roman"/>
                <w:szCs w:val="24"/>
              </w:rPr>
              <w:t xml:space="preserve"> 6.4.punkta prasībām Pretendents būs izpildījis nolikuma prasības, ja ESPD iesniegs tikai par ārvalstīs reģistrētām vai patstāvīgi dzīvojošām personām</w:t>
            </w:r>
            <w:r w:rsidRPr="00864F83">
              <w:rPr>
                <w:rFonts w:ascii="Times New Roman" w:eastAsia="Times New Roman" w:hAnsi="Times New Roman" w:cs="Times New Roman"/>
                <w:szCs w:val="24"/>
              </w:rPr>
              <w:t>.</w:t>
            </w:r>
          </w:p>
        </w:tc>
      </w:tr>
      <w:bookmarkEnd w:id="2"/>
      <w:bookmarkEnd w:id="3"/>
    </w:tbl>
    <w:p w:rsidR="000A54B7" w:rsidRDefault="000A54B7" w:rsidP="00810B79">
      <w:pPr>
        <w:pStyle w:val="ListParagraph"/>
        <w:spacing w:before="120"/>
        <w:ind w:left="0" w:right="282"/>
        <w:contextualSpacing w:val="0"/>
        <w:rPr>
          <w:rFonts w:ascii="Times New Roman" w:hAnsi="Times New Roman" w:cs="Times New Roman"/>
          <w:sz w:val="24"/>
          <w:szCs w:val="24"/>
        </w:rPr>
      </w:pPr>
    </w:p>
    <w:p w:rsidR="00577433" w:rsidRDefault="0057743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B6523" w:rsidRDefault="00CB6523" w:rsidP="00577433">
      <w:pPr>
        <w:spacing w:after="160" w:line="259" w:lineRule="auto"/>
        <w:rPr>
          <w:rFonts w:ascii="Times New Roman" w:hAnsi="Times New Roman" w:cs="Times New Roman"/>
          <w:sz w:val="24"/>
          <w:szCs w:val="24"/>
        </w:rPr>
      </w:pPr>
    </w:p>
    <w:p w:rsidR="00577433" w:rsidRDefault="00577433" w:rsidP="00577433">
      <w:pPr>
        <w:pStyle w:val="ListParagraph"/>
        <w:spacing w:before="120"/>
        <w:ind w:left="0" w:right="282" w:firstLine="7230"/>
        <w:contextualSpacing w:val="0"/>
        <w:rPr>
          <w:rFonts w:ascii="Times New Roman" w:hAnsi="Times New Roman" w:cs="Times New Roman"/>
          <w:sz w:val="24"/>
          <w:szCs w:val="24"/>
        </w:rPr>
      </w:pPr>
      <w:r>
        <w:rPr>
          <w:rFonts w:ascii="Times New Roman" w:hAnsi="Times New Roman" w:cs="Times New Roman"/>
          <w:sz w:val="24"/>
          <w:szCs w:val="24"/>
        </w:rPr>
        <w:t>PIELIKUMS</w:t>
      </w:r>
    </w:p>
    <w:p w:rsidR="00577433" w:rsidRDefault="00577433" w:rsidP="00577433">
      <w:pPr>
        <w:pStyle w:val="ListParagraph"/>
        <w:spacing w:before="120"/>
        <w:ind w:left="0" w:right="282" w:firstLine="7230"/>
        <w:contextualSpacing w:val="0"/>
        <w:rPr>
          <w:rFonts w:ascii="Times New Roman" w:hAnsi="Times New Roman" w:cs="Times New Roman"/>
          <w:sz w:val="24"/>
          <w:szCs w:val="24"/>
        </w:rPr>
      </w:pPr>
      <w:r>
        <w:rPr>
          <w:rFonts w:ascii="Times New Roman" w:hAnsi="Times New Roman" w:cs="Times New Roman"/>
          <w:sz w:val="24"/>
          <w:szCs w:val="24"/>
        </w:rPr>
        <w:t>Skaidrojumam Nr.9</w:t>
      </w:r>
    </w:p>
    <w:p w:rsidR="00577433" w:rsidRDefault="00577433" w:rsidP="00810B79">
      <w:pPr>
        <w:pStyle w:val="ListParagraph"/>
        <w:spacing w:before="120"/>
        <w:ind w:left="0" w:right="282"/>
        <w:contextualSpacing w:val="0"/>
        <w:rPr>
          <w:rFonts w:ascii="Times New Roman" w:hAnsi="Times New Roman" w:cs="Times New Roman"/>
          <w:sz w:val="24"/>
          <w:szCs w:val="24"/>
        </w:rPr>
      </w:pPr>
    </w:p>
    <w:p w:rsidR="00577433" w:rsidRDefault="00577433" w:rsidP="00810B79">
      <w:pPr>
        <w:pStyle w:val="ListParagraph"/>
        <w:spacing w:before="120"/>
        <w:ind w:left="0" w:right="282"/>
        <w:contextualSpacing w:val="0"/>
        <w:rPr>
          <w:rFonts w:ascii="Times New Roman" w:hAnsi="Times New Roman" w:cs="Times New Roman"/>
          <w:sz w:val="24"/>
          <w:szCs w:val="24"/>
        </w:rPr>
      </w:pPr>
    </w:p>
    <w:p w:rsidR="00577433" w:rsidRPr="008B6DE7" w:rsidRDefault="00577433" w:rsidP="00577433">
      <w:pPr>
        <w:pStyle w:val="ListParagraph"/>
        <w:spacing w:before="120"/>
        <w:ind w:left="0" w:right="282"/>
        <w:contextualSpacing w:val="0"/>
        <w:jc w:val="center"/>
        <w:rPr>
          <w:rFonts w:ascii="Times New Roman" w:hAnsi="Times New Roman" w:cs="Times New Roman"/>
          <w:sz w:val="24"/>
          <w:szCs w:val="24"/>
        </w:rPr>
      </w:pPr>
      <w:r>
        <w:rPr>
          <w:noProof/>
        </w:rPr>
        <w:drawing>
          <wp:inline distT="0" distB="0" distL="0" distR="0" wp14:anchorId="2D91BFA0" wp14:editId="53CB8EB8">
            <wp:extent cx="487680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6800" cy="4162425"/>
                    </a:xfrm>
                    <a:prstGeom prst="rect">
                      <a:avLst/>
                    </a:prstGeom>
                  </pic:spPr>
                </pic:pic>
              </a:graphicData>
            </a:graphic>
          </wp:inline>
        </w:drawing>
      </w:r>
      <w:bookmarkStart w:id="4" w:name="_GoBack"/>
      <w:bookmarkEnd w:id="4"/>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176" w:rsidRDefault="002D3176" w:rsidP="00591256">
      <w:r>
        <w:separator/>
      </w:r>
    </w:p>
  </w:endnote>
  <w:endnote w:type="continuationSeparator" w:id="0">
    <w:p w:rsidR="002D3176" w:rsidRDefault="002D317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64745A">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176" w:rsidRDefault="002D3176" w:rsidP="00591256">
      <w:r>
        <w:separator/>
      </w:r>
    </w:p>
  </w:footnote>
  <w:footnote w:type="continuationSeparator" w:id="0">
    <w:p w:rsidR="002D3176" w:rsidRDefault="002D317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052F54"/>
    <w:multiLevelType w:val="hybridMultilevel"/>
    <w:tmpl w:val="F91AF2AA"/>
    <w:lvl w:ilvl="0" w:tplc="35BA9D5A">
      <w:start w:val="3"/>
      <w:numFmt w:val="bullet"/>
      <w:lvlText w:val=""/>
      <w:lvlJc w:val="left"/>
      <w:pPr>
        <w:ind w:left="1429" w:hanging="360"/>
      </w:pPr>
      <w:rPr>
        <w:rFonts w:ascii="Symbol" w:eastAsia="Times New Roman" w:hAnsi="Symbol" w:cs="Arial" w:hint="default"/>
        <w:color w:val="00000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01365C"/>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5139E2"/>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81235"/>
    <w:multiLevelType w:val="hybridMultilevel"/>
    <w:tmpl w:val="EA86A85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1674B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 w15:restartNumberingAfterBreak="0">
    <w:nsid w:val="0F4F0135"/>
    <w:multiLevelType w:val="hybridMultilevel"/>
    <w:tmpl w:val="2D627F74"/>
    <w:lvl w:ilvl="0" w:tplc="A666351E">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0"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03D6A68"/>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A64AF9"/>
    <w:multiLevelType w:val="hybridMultilevel"/>
    <w:tmpl w:val="F2C4F4F6"/>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BB62614"/>
    <w:multiLevelType w:val="hybridMultilevel"/>
    <w:tmpl w:val="04882166"/>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8"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D5C6D3D"/>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0" w15:restartNumberingAfterBreak="0">
    <w:nsid w:val="2DEF5B92"/>
    <w:multiLevelType w:val="hybridMultilevel"/>
    <w:tmpl w:val="958A58DA"/>
    <w:lvl w:ilvl="0" w:tplc="D71862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3" w15:restartNumberingAfterBreak="0">
    <w:nsid w:val="32C4429D"/>
    <w:multiLevelType w:val="hybridMultilevel"/>
    <w:tmpl w:val="D3D2C4B2"/>
    <w:lvl w:ilvl="0" w:tplc="C370459C">
      <w:start w:val="1"/>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5" w15:restartNumberingAfterBreak="0">
    <w:nsid w:val="35332DF3"/>
    <w:multiLevelType w:val="hybridMultilevel"/>
    <w:tmpl w:val="BBCAE494"/>
    <w:lvl w:ilvl="0" w:tplc="94B46066">
      <w:start w:val="1"/>
      <w:numFmt w:val="decimal"/>
      <w:lvlText w:val="%1."/>
      <w:lvlJc w:val="left"/>
      <w:pPr>
        <w:ind w:left="1068" w:hanging="360"/>
      </w:pPr>
      <w:rPr>
        <w:rFonts w:ascii="Calibri" w:eastAsiaTheme="minorHAnsi" w:hAnsi="Calibri"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EA218EE"/>
    <w:multiLevelType w:val="hybridMultilevel"/>
    <w:tmpl w:val="2B56099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8" w15:restartNumberingAfterBreak="0">
    <w:nsid w:val="41D120AF"/>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2"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3" w15:restartNumberingAfterBreak="0">
    <w:nsid w:val="51E21C02"/>
    <w:multiLevelType w:val="hybridMultilevel"/>
    <w:tmpl w:val="DF926FB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4B03E4F"/>
    <w:multiLevelType w:val="hybridMultilevel"/>
    <w:tmpl w:val="A63E450A"/>
    <w:lvl w:ilvl="0" w:tplc="DDC8FEE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4C25326"/>
    <w:multiLevelType w:val="hybridMultilevel"/>
    <w:tmpl w:val="FD507E2E"/>
    <w:lvl w:ilvl="0" w:tplc="B6C662A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15:restartNumberingAfterBreak="0">
    <w:nsid w:val="54CB4132"/>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FF0A8A"/>
    <w:multiLevelType w:val="hybridMultilevel"/>
    <w:tmpl w:val="177C2D60"/>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997262"/>
    <w:multiLevelType w:val="hybridMultilevel"/>
    <w:tmpl w:val="47948CC4"/>
    <w:lvl w:ilvl="0" w:tplc="F068445E">
      <w:start w:val="1"/>
      <w:numFmt w:val="bullet"/>
      <w:lvlText w:val="-"/>
      <w:lvlJc w:val="left"/>
      <w:pPr>
        <w:ind w:left="1080" w:hanging="360"/>
      </w:pPr>
      <w:rPr>
        <w:rFonts w:ascii="Tahoma" w:eastAsiaTheme="minorEastAsia"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3" w15:restartNumberingAfterBreak="0">
    <w:nsid w:val="7E7E699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2"/>
  </w:num>
  <w:num w:numId="4">
    <w:abstractNumId w:val="24"/>
  </w:num>
  <w:num w:numId="5">
    <w:abstractNumId w:val="13"/>
  </w:num>
  <w:num w:numId="6">
    <w:abstractNumId w:val="3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
  </w:num>
  <w:num w:numId="11">
    <w:abstractNumId w:val="31"/>
  </w:num>
  <w:num w:numId="12">
    <w:abstractNumId w:val="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1"/>
  </w:num>
  <w:num w:numId="17">
    <w:abstractNumId w:val="10"/>
  </w:num>
  <w:num w:numId="18">
    <w:abstractNumId w:val="16"/>
  </w:num>
  <w:num w:numId="19">
    <w:abstractNumId w:val="34"/>
  </w:num>
  <w:num w:numId="20">
    <w:abstractNumId w:val="29"/>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2"/>
  </w:num>
  <w:num w:numId="28">
    <w:abstractNumId w:val="4"/>
  </w:num>
  <w:num w:numId="29">
    <w:abstractNumId w:val="28"/>
  </w:num>
  <w:num w:numId="30">
    <w:abstractNumId w:val="5"/>
  </w:num>
  <w:num w:numId="31">
    <w:abstractNumId w:val="26"/>
  </w:num>
  <w:num w:numId="32">
    <w:abstractNumId w:val="8"/>
  </w:num>
  <w:num w:numId="33">
    <w:abstractNumId w:val="19"/>
  </w:num>
  <w:num w:numId="34">
    <w:abstractNumId w:val="43"/>
  </w:num>
  <w:num w:numId="35">
    <w:abstractNumId w:val="23"/>
  </w:num>
  <w:num w:numId="36">
    <w:abstractNumId w:val="39"/>
  </w:num>
  <w:num w:numId="37">
    <w:abstractNumId w:val="17"/>
  </w:num>
  <w:num w:numId="38">
    <w:abstractNumId w:val="33"/>
  </w:num>
  <w:num w:numId="39">
    <w:abstractNumId w:val="20"/>
  </w:num>
  <w:num w:numId="40">
    <w:abstractNumId w:val="7"/>
  </w:num>
  <w:num w:numId="41">
    <w:abstractNumId w:val="14"/>
  </w:num>
  <w:num w:numId="42">
    <w:abstractNumId w:val="3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130A"/>
    <w:rsid w:val="000132C4"/>
    <w:rsid w:val="000232F0"/>
    <w:rsid w:val="00024A24"/>
    <w:rsid w:val="00037ACA"/>
    <w:rsid w:val="00052337"/>
    <w:rsid w:val="00067370"/>
    <w:rsid w:val="000753AE"/>
    <w:rsid w:val="00075CD8"/>
    <w:rsid w:val="0008750A"/>
    <w:rsid w:val="0009126E"/>
    <w:rsid w:val="000A54B7"/>
    <w:rsid w:val="000F07E7"/>
    <w:rsid w:val="000F1484"/>
    <w:rsid w:val="000F595D"/>
    <w:rsid w:val="0011221E"/>
    <w:rsid w:val="00115906"/>
    <w:rsid w:val="00124FFD"/>
    <w:rsid w:val="00132AE1"/>
    <w:rsid w:val="001447C7"/>
    <w:rsid w:val="001573E2"/>
    <w:rsid w:val="00163F1B"/>
    <w:rsid w:val="00165EA6"/>
    <w:rsid w:val="0017283D"/>
    <w:rsid w:val="001A3C4E"/>
    <w:rsid w:val="001A3CAD"/>
    <w:rsid w:val="001B033F"/>
    <w:rsid w:val="001B211F"/>
    <w:rsid w:val="001B7B25"/>
    <w:rsid w:val="001C1DA6"/>
    <w:rsid w:val="001C4860"/>
    <w:rsid w:val="001E151D"/>
    <w:rsid w:val="001F2825"/>
    <w:rsid w:val="00204413"/>
    <w:rsid w:val="002150DD"/>
    <w:rsid w:val="00220950"/>
    <w:rsid w:val="00223533"/>
    <w:rsid w:val="002247D0"/>
    <w:rsid w:val="00227B32"/>
    <w:rsid w:val="00244F08"/>
    <w:rsid w:val="00246DAF"/>
    <w:rsid w:val="00247412"/>
    <w:rsid w:val="00263116"/>
    <w:rsid w:val="002646DA"/>
    <w:rsid w:val="00265DC7"/>
    <w:rsid w:val="002711AF"/>
    <w:rsid w:val="0028443C"/>
    <w:rsid w:val="00287375"/>
    <w:rsid w:val="0029616F"/>
    <w:rsid w:val="00297DEA"/>
    <w:rsid w:val="002D3176"/>
    <w:rsid w:val="002D6359"/>
    <w:rsid w:val="002E107A"/>
    <w:rsid w:val="002E23F3"/>
    <w:rsid w:val="002F0834"/>
    <w:rsid w:val="002F4012"/>
    <w:rsid w:val="0030311C"/>
    <w:rsid w:val="003148CF"/>
    <w:rsid w:val="003175C6"/>
    <w:rsid w:val="00336EC0"/>
    <w:rsid w:val="00344070"/>
    <w:rsid w:val="00360B0E"/>
    <w:rsid w:val="00362DF2"/>
    <w:rsid w:val="00366074"/>
    <w:rsid w:val="00370471"/>
    <w:rsid w:val="00370B7B"/>
    <w:rsid w:val="0037315B"/>
    <w:rsid w:val="003759C9"/>
    <w:rsid w:val="003764EE"/>
    <w:rsid w:val="00384823"/>
    <w:rsid w:val="003872C0"/>
    <w:rsid w:val="003957DA"/>
    <w:rsid w:val="00396D80"/>
    <w:rsid w:val="003A5DD6"/>
    <w:rsid w:val="003C1F4C"/>
    <w:rsid w:val="003C415B"/>
    <w:rsid w:val="003D2470"/>
    <w:rsid w:val="003D557C"/>
    <w:rsid w:val="003D576F"/>
    <w:rsid w:val="003F21B3"/>
    <w:rsid w:val="003F61B4"/>
    <w:rsid w:val="004115F0"/>
    <w:rsid w:val="00411CFA"/>
    <w:rsid w:val="00415931"/>
    <w:rsid w:val="00431C11"/>
    <w:rsid w:val="00445D89"/>
    <w:rsid w:val="004525DD"/>
    <w:rsid w:val="00463E41"/>
    <w:rsid w:val="00487AFC"/>
    <w:rsid w:val="00492F79"/>
    <w:rsid w:val="004B1024"/>
    <w:rsid w:val="004B6A0A"/>
    <w:rsid w:val="004C0488"/>
    <w:rsid w:val="004D6653"/>
    <w:rsid w:val="004E6C6A"/>
    <w:rsid w:val="004E736D"/>
    <w:rsid w:val="004F1F22"/>
    <w:rsid w:val="004F21DA"/>
    <w:rsid w:val="005020C2"/>
    <w:rsid w:val="0050366A"/>
    <w:rsid w:val="00506654"/>
    <w:rsid w:val="00510F6F"/>
    <w:rsid w:val="005116C3"/>
    <w:rsid w:val="0051308D"/>
    <w:rsid w:val="005571A9"/>
    <w:rsid w:val="005758A8"/>
    <w:rsid w:val="00577433"/>
    <w:rsid w:val="0058598B"/>
    <w:rsid w:val="00591256"/>
    <w:rsid w:val="00592BA6"/>
    <w:rsid w:val="005A7063"/>
    <w:rsid w:val="005B10F1"/>
    <w:rsid w:val="005B5129"/>
    <w:rsid w:val="005B6E3D"/>
    <w:rsid w:val="005D3681"/>
    <w:rsid w:val="005E025F"/>
    <w:rsid w:val="005E0FCD"/>
    <w:rsid w:val="00602A51"/>
    <w:rsid w:val="00614E0C"/>
    <w:rsid w:val="0061753F"/>
    <w:rsid w:val="006260C2"/>
    <w:rsid w:val="00634E93"/>
    <w:rsid w:val="0063532D"/>
    <w:rsid w:val="006366B0"/>
    <w:rsid w:val="00637A79"/>
    <w:rsid w:val="00641E1F"/>
    <w:rsid w:val="0064745A"/>
    <w:rsid w:val="00653138"/>
    <w:rsid w:val="00656FA1"/>
    <w:rsid w:val="00660817"/>
    <w:rsid w:val="006733E0"/>
    <w:rsid w:val="00677617"/>
    <w:rsid w:val="00685C3C"/>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2402"/>
    <w:rsid w:val="00853ABB"/>
    <w:rsid w:val="0085678F"/>
    <w:rsid w:val="00856808"/>
    <w:rsid w:val="00863EBB"/>
    <w:rsid w:val="00864F83"/>
    <w:rsid w:val="008669B1"/>
    <w:rsid w:val="00884863"/>
    <w:rsid w:val="008862F5"/>
    <w:rsid w:val="00892BED"/>
    <w:rsid w:val="008A41C8"/>
    <w:rsid w:val="008A44DC"/>
    <w:rsid w:val="008B6DE7"/>
    <w:rsid w:val="008C59C7"/>
    <w:rsid w:val="008D6CD5"/>
    <w:rsid w:val="008D7B9D"/>
    <w:rsid w:val="008E0D44"/>
    <w:rsid w:val="008E41A5"/>
    <w:rsid w:val="008E6559"/>
    <w:rsid w:val="00907A48"/>
    <w:rsid w:val="00912FC6"/>
    <w:rsid w:val="00917F02"/>
    <w:rsid w:val="00931386"/>
    <w:rsid w:val="009336FC"/>
    <w:rsid w:val="009431B9"/>
    <w:rsid w:val="00951A11"/>
    <w:rsid w:val="009624F7"/>
    <w:rsid w:val="009852CE"/>
    <w:rsid w:val="009A242E"/>
    <w:rsid w:val="009B0457"/>
    <w:rsid w:val="009B46BB"/>
    <w:rsid w:val="009C2C06"/>
    <w:rsid w:val="009D27E0"/>
    <w:rsid w:val="009D6415"/>
    <w:rsid w:val="009E5489"/>
    <w:rsid w:val="009E7606"/>
    <w:rsid w:val="00A06273"/>
    <w:rsid w:val="00A15D2E"/>
    <w:rsid w:val="00A176F5"/>
    <w:rsid w:val="00A208FA"/>
    <w:rsid w:val="00A21BD0"/>
    <w:rsid w:val="00A3521F"/>
    <w:rsid w:val="00A35E2D"/>
    <w:rsid w:val="00A37468"/>
    <w:rsid w:val="00A37797"/>
    <w:rsid w:val="00A63CF1"/>
    <w:rsid w:val="00A741E4"/>
    <w:rsid w:val="00A75BAC"/>
    <w:rsid w:val="00A82463"/>
    <w:rsid w:val="00A863C0"/>
    <w:rsid w:val="00A93B57"/>
    <w:rsid w:val="00A954CA"/>
    <w:rsid w:val="00A9595B"/>
    <w:rsid w:val="00AB3618"/>
    <w:rsid w:val="00AB5C67"/>
    <w:rsid w:val="00AC01EB"/>
    <w:rsid w:val="00AC7B56"/>
    <w:rsid w:val="00AE1116"/>
    <w:rsid w:val="00AE5484"/>
    <w:rsid w:val="00AE5C91"/>
    <w:rsid w:val="00B04E8A"/>
    <w:rsid w:val="00B22682"/>
    <w:rsid w:val="00B24562"/>
    <w:rsid w:val="00B27D58"/>
    <w:rsid w:val="00B30B4F"/>
    <w:rsid w:val="00B310B5"/>
    <w:rsid w:val="00B45A34"/>
    <w:rsid w:val="00B576FD"/>
    <w:rsid w:val="00B57CB0"/>
    <w:rsid w:val="00B62BFC"/>
    <w:rsid w:val="00B728FD"/>
    <w:rsid w:val="00B73FBA"/>
    <w:rsid w:val="00B76621"/>
    <w:rsid w:val="00B83B39"/>
    <w:rsid w:val="00B9005B"/>
    <w:rsid w:val="00B94E33"/>
    <w:rsid w:val="00BB3722"/>
    <w:rsid w:val="00BE0F84"/>
    <w:rsid w:val="00BF0C0C"/>
    <w:rsid w:val="00C04B47"/>
    <w:rsid w:val="00C1211C"/>
    <w:rsid w:val="00C1296A"/>
    <w:rsid w:val="00C351C9"/>
    <w:rsid w:val="00C46156"/>
    <w:rsid w:val="00C47038"/>
    <w:rsid w:val="00C5337F"/>
    <w:rsid w:val="00C5452E"/>
    <w:rsid w:val="00C7734F"/>
    <w:rsid w:val="00C864F5"/>
    <w:rsid w:val="00C867EA"/>
    <w:rsid w:val="00C86975"/>
    <w:rsid w:val="00C87D1D"/>
    <w:rsid w:val="00CA194D"/>
    <w:rsid w:val="00CB25A5"/>
    <w:rsid w:val="00CB6523"/>
    <w:rsid w:val="00CE0AC2"/>
    <w:rsid w:val="00CF6C45"/>
    <w:rsid w:val="00D1482E"/>
    <w:rsid w:val="00D17FBF"/>
    <w:rsid w:val="00D3561F"/>
    <w:rsid w:val="00D4239E"/>
    <w:rsid w:val="00D564B8"/>
    <w:rsid w:val="00D61B22"/>
    <w:rsid w:val="00D665FB"/>
    <w:rsid w:val="00D7671F"/>
    <w:rsid w:val="00D775C1"/>
    <w:rsid w:val="00D83E2B"/>
    <w:rsid w:val="00DA2AFF"/>
    <w:rsid w:val="00DB3949"/>
    <w:rsid w:val="00DC256D"/>
    <w:rsid w:val="00DC42B9"/>
    <w:rsid w:val="00DC5224"/>
    <w:rsid w:val="00DD283A"/>
    <w:rsid w:val="00DD3133"/>
    <w:rsid w:val="00E0059C"/>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F6932"/>
    <w:rsid w:val="00F05C46"/>
    <w:rsid w:val="00F06F41"/>
    <w:rsid w:val="00F11C52"/>
    <w:rsid w:val="00F12D47"/>
    <w:rsid w:val="00F142F1"/>
    <w:rsid w:val="00F630C6"/>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7D54"/>
  <w15:docId w15:val="{1EDC91AA-5E02-4C34-B748-112D181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236A-9FEB-47B9-AD4D-A29F772A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7640</Words>
  <Characters>4355</Characters>
  <Application>Microsoft Office Word</Application>
  <DocSecurity>0</DocSecurity>
  <Lines>36</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Dana Cielēna</cp:lastModifiedBy>
  <cp:revision>3</cp:revision>
  <cp:lastPrinted>2019-06-27T06:53:00Z</cp:lastPrinted>
  <dcterms:created xsi:type="dcterms:W3CDTF">2019-08-15T13:16:00Z</dcterms:created>
  <dcterms:modified xsi:type="dcterms:W3CDTF">2019-08-15T13:25:00Z</dcterms:modified>
</cp:coreProperties>
</file>