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C6034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1A3CAD" w:rsidRPr="00487C0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87C0D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0726D9" w:rsidRPr="00487C0D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6A52B9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Pr="00487C0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3957DA" w:rsidRPr="00487C0D">
        <w:rPr>
          <w:rFonts w:ascii="Times New Roman" w:eastAsia="Arial Unicode MS" w:hAnsi="Times New Roman" w:cs="Times New Roman"/>
          <w:i/>
          <w:sz w:val="24"/>
          <w:szCs w:val="24"/>
        </w:rPr>
        <w:t>jū</w:t>
      </w:r>
      <w:r w:rsidR="00EB076E" w:rsidRPr="00487C0D">
        <w:rPr>
          <w:rFonts w:ascii="Times New Roman" w:eastAsia="Arial Unicode MS" w:hAnsi="Times New Roman" w:cs="Times New Roman"/>
          <w:i/>
          <w:sz w:val="24"/>
          <w:szCs w:val="24"/>
        </w:rPr>
        <w:t>l</w:t>
      </w:r>
      <w:r w:rsidRPr="00487C0D">
        <w:rPr>
          <w:rFonts w:ascii="Times New Roman" w:eastAsia="Arial Unicode MS" w:hAnsi="Times New Roman" w:cs="Times New Roman"/>
          <w:i/>
          <w:sz w:val="24"/>
          <w:szCs w:val="24"/>
        </w:rPr>
        <w:t xml:space="preserve">ija </w:t>
      </w:r>
    </w:p>
    <w:p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C0D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FC4B4C" w:rsidRPr="00487C0D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057DFF" w:rsidRPr="00487C0D">
        <w:rPr>
          <w:rFonts w:ascii="Times New Roman" w:eastAsia="Arial Unicode MS" w:hAnsi="Times New Roman" w:cs="Times New Roman"/>
          <w:i/>
          <w:sz w:val="24"/>
          <w:szCs w:val="24"/>
        </w:rPr>
        <w:t>5</w:t>
      </w:r>
    </w:p>
    <w:p w:rsidR="001A3CAD" w:rsidRPr="00CF4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Atklātā konkursa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bookmarkStart w:id="0" w:name="_Hlk10018788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Daugavpils Šķirošanas stacijas attīstība: būvniecība</w:t>
      </w:r>
      <w:bookmarkEnd w:id="0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Nr.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LDZ 2019/17-IB/6.2.1.2/16/I/002/01-04)</w:t>
      </w:r>
    </w:p>
    <w:p w:rsidR="001A3CAD" w:rsidRPr="00CF44FC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58A8" w:rsidRPr="00CF44FC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26BBF">
        <w:rPr>
          <w:rFonts w:ascii="Times New Roman" w:hAnsi="Times New Roman" w:cs="Times New Roman"/>
          <w:b/>
          <w:sz w:val="24"/>
          <w:szCs w:val="24"/>
        </w:rPr>
        <w:t>9</w:t>
      </w:r>
    </w:p>
    <w:p w:rsidR="002E107A" w:rsidRPr="00CF4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81"/>
        <w:gridCol w:w="5055"/>
        <w:gridCol w:w="5058"/>
      </w:tblGrid>
      <w:tr w:rsidR="004D6653" w:rsidRPr="00CF44FC" w:rsidTr="009A6AFD">
        <w:trPr>
          <w:jc w:val="center"/>
        </w:trPr>
        <w:tc>
          <w:tcPr>
            <w:tcW w:w="1081" w:type="dxa"/>
            <w:shd w:val="clear" w:color="auto" w:fill="FFF2CC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5" w:type="dxa"/>
            <w:shd w:val="clear" w:color="auto" w:fill="FFF2CC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4D6653" w:rsidRPr="00CF44FC" w:rsidTr="009A6AFD">
        <w:trPr>
          <w:jc w:val="center"/>
        </w:trPr>
        <w:tc>
          <w:tcPr>
            <w:tcW w:w="1081" w:type="dxa"/>
            <w:shd w:val="clear" w:color="auto" w:fill="DCFDD7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55" w:type="dxa"/>
            <w:shd w:val="clear" w:color="auto" w:fill="DCFDD7"/>
          </w:tcPr>
          <w:p w:rsidR="004D6653" w:rsidRPr="00CF44FC" w:rsidRDefault="000726D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22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B076E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5058" w:type="dxa"/>
            <w:shd w:val="clear" w:color="auto" w:fill="DCFDD7"/>
          </w:tcPr>
          <w:p w:rsidR="004D6653" w:rsidRPr="00CF44FC" w:rsidRDefault="000726D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A813F0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B076E" w:rsidRP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44F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055" w:type="dxa"/>
          </w:tcPr>
          <w:p w:rsidR="000726D9" w:rsidRPr="000726D9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>Pasūtītāja prasību 5. sējuma 1. sadaļā “Vispārīgās prasības” minēts, ka “Elektroapgādes sistēma ir jāprojektē saskaņā ar nepieciešamo elektrisko slodzi un patērētāju elektroapgādes drošumu, ņemot vērā apstiprināto sliežu ceļu projektu shēmas.”</w:t>
            </w:r>
          </w:p>
          <w:p w:rsidR="008A6FE5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>Lūdzam precizēt vai apakšstacijas TA-01 transformatoriem T1 TM-1000kVA vai T2 TM-1000kVA avārijas darba režīmā, izejot no darbības,  jāpārņem T1 vai T2 slodze?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726D9" w:rsidRPr="00CF44FC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A6FE5" w:rsidRPr="00C60349" w:rsidRDefault="00773B71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>Apakšstacijas TA-</w:t>
            </w:r>
            <w:r w:rsidR="00640644">
              <w:rPr>
                <w:rFonts w:ascii="Times New Roman" w:eastAsia="Calibri" w:hAnsi="Times New Roman" w:cs="Times New Roman"/>
                <w:szCs w:val="24"/>
                <w:lang w:eastAsia="en-US"/>
              </w:rPr>
              <w:t>01</w:t>
            </w: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transformatoriem T1 vai T2 avārijas darba režīmā, viena</w:t>
            </w:r>
            <w:r w:rsid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m</w:t>
            </w: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 minētajiem </w:t>
            </w: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>transformator</w:t>
            </w:r>
            <w:r w:rsid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ie</w:t>
            </w: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>m</w:t>
            </w:r>
            <w:r w:rsid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izejot no darbības gadījumā</w:t>
            </w: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otram </w:t>
            </w:r>
            <w:r w:rsidRPr="00AE3F28">
              <w:rPr>
                <w:rFonts w:ascii="Times New Roman" w:eastAsia="Calibri" w:hAnsi="Times New Roman" w:cs="Times New Roman"/>
                <w:szCs w:val="24"/>
                <w:lang w:eastAsia="en-US"/>
              </w:rPr>
              <w:t>jāpārņem T1 vai T2 slodze.</w:t>
            </w:r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055" w:type="dxa"/>
          </w:tcPr>
          <w:p w:rsidR="000726D9" w:rsidRPr="000726D9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 xml:space="preserve">Pasūtītāja prasību 5. sējuma 1. sadaļā “Vispārīgās prasības” minēts, ka “Nepieciešamības gadījumā Daugavpils šķirošanas parkam pieprasīt no AS „Sadales tīkls” tehniskos noteikumus jaudas palielinājumam”. </w:t>
            </w:r>
          </w:p>
          <w:p w:rsidR="008A6FE5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 xml:space="preserve">Lūdzam izsniegt AS “Sadales tīkls” tehniskos noteikumus jaudas palielinājumam vai izsniegt pilnvaru tehnisko noteikumu saņemšanai par TA-01 apakšstacijas abu ievadu palielinājumam līdz 1600 </w:t>
            </w:r>
            <w:proofErr w:type="spellStart"/>
            <w:r w:rsidRPr="000726D9">
              <w:rPr>
                <w:rFonts w:ascii="Times New Roman" w:hAnsi="Times New Roman" w:cs="Times New Roman"/>
                <w:szCs w:val="24"/>
              </w:rPr>
              <w:t>kVA</w:t>
            </w:r>
            <w:proofErr w:type="spellEnd"/>
            <w:r w:rsidRPr="000726D9">
              <w:rPr>
                <w:rFonts w:ascii="Times New Roman" w:hAnsi="Times New Roman" w:cs="Times New Roman"/>
                <w:szCs w:val="24"/>
              </w:rPr>
              <w:t>? AS “Sadales tīkls” tehniskos noteikums 3 personām neizsniedz.</w:t>
            </w:r>
          </w:p>
          <w:p w:rsidR="000726D9" w:rsidRPr="00E70E6E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A6FE5" w:rsidRPr="00C60349" w:rsidRDefault="00773B71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 w:rsidRPr="006F3732">
              <w:rPr>
                <w:rFonts w:ascii="Times New Roman" w:eastAsia="Calibri" w:hAnsi="Times New Roman" w:cs="Times New Roman"/>
                <w:szCs w:val="24"/>
                <w:lang w:eastAsia="en-US"/>
              </w:rPr>
              <w:t>askaņā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6F37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ar Pasūtītāja prasību 1.sējuma </w:t>
            </w:r>
            <w:r w:rsidR="00B53F91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6F3732">
              <w:rPr>
                <w:rFonts w:ascii="Times New Roman" w:eastAsia="Calibri" w:hAnsi="Times New Roman" w:cs="Times New Roman"/>
                <w:szCs w:val="24"/>
                <w:lang w:eastAsia="en-US"/>
              </w:rPr>
              <w:t>.1.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punktu</w:t>
            </w:r>
            <w:r w:rsidRPr="006F37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Uzņēmējam </w:t>
            </w:r>
            <w:r w:rsidRPr="00487C0D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pēc līguma noslēgšanas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būs </w:t>
            </w:r>
            <w:r w:rsidRPr="006F3732">
              <w:rPr>
                <w:rFonts w:ascii="Times New Roman" w:eastAsia="Calibri" w:hAnsi="Times New Roman" w:cs="Times New Roman"/>
                <w:szCs w:val="24"/>
                <w:lang w:eastAsia="en-US"/>
              </w:rPr>
              <w:t>jāsaņem Būvatļauja, t.sk. jāsaņem Tehniskie noteikumi no institūcijām, kas tiks norādītas Būvatļaujā, t.sk.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, n</w:t>
            </w:r>
            <w:r w:rsidRPr="006F37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epieciešamības gadījumā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 </w:t>
            </w:r>
            <w:r w:rsidRPr="003F161A">
              <w:rPr>
                <w:rFonts w:ascii="Times New Roman" w:eastAsia="Calibri" w:hAnsi="Times New Roman" w:cs="Times New Roman"/>
                <w:szCs w:val="24"/>
                <w:lang w:eastAsia="en-US"/>
              </w:rPr>
              <w:t>AS “Sadales tīkls”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487C0D" w:rsidRPr="005A013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Pilnvara tiks izsniegta Uzņēmējam </w:t>
            </w:r>
            <w:r w:rsidR="00487C0D" w:rsidRPr="005A0134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pēc līguma noslēgšanas</w:t>
            </w:r>
            <w:r w:rsidR="00487C0D" w:rsidRPr="005A0134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055" w:type="dxa"/>
          </w:tcPr>
          <w:p w:rsidR="000726D9" w:rsidRPr="000726D9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 xml:space="preserve">Pasūtītāja prasību 4. sējuma 2.6. punktā ir minēta prasība nodrošināt sistēmu ar 2-4 darba vietas operatora pultīm. </w:t>
            </w:r>
          </w:p>
          <w:p w:rsidR="000726D9" w:rsidRPr="000726D9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>Lūdzam precizēt operatoru darba vietu skaitu, kuras ir jāaprīko ar operatora pultīm un jāizbūvē attiecīgās komunikācijas, jo katras darba vietas nodrošināšanas izmaksas ir jāiekļauj finanšu piedāvājumā.</w:t>
            </w:r>
          </w:p>
          <w:p w:rsidR="008A6FE5" w:rsidRPr="00E70E6E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A6FE5" w:rsidRPr="00C60349" w:rsidRDefault="00B53F91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Uzņēmējam jānodrošina</w:t>
            </w:r>
            <w:r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d</w:t>
            </w:r>
            <w:r w:rsidR="00D24122"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ivpusējo parka skaļruņu sakaru vadības pultis Daugavpils pieņemšanas parka dežuranta darba vietā (UAC) Piekrastes </w:t>
            </w:r>
            <w:r w:rsidR="00A85F7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ielā </w:t>
            </w:r>
            <w:r w:rsidR="00D24122"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22, uzkalna dežuranta darba vietā (UAC) Piekrastes </w:t>
            </w:r>
            <w:r w:rsidR="00A85F7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ielā </w:t>
            </w:r>
            <w:r w:rsidR="00D24122"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>22 un UAC ēk</w:t>
            </w:r>
            <w:r w:rsidR="00A85F72">
              <w:rPr>
                <w:rFonts w:ascii="Times New Roman" w:eastAsia="Calibri" w:hAnsi="Times New Roman" w:cs="Times New Roman"/>
                <w:szCs w:val="24"/>
                <w:lang w:eastAsia="en-US"/>
              </w:rPr>
              <w:t>as</w:t>
            </w:r>
            <w:r w:rsidR="00D24122"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sakaru telpā.</w:t>
            </w:r>
          </w:p>
        </w:tc>
      </w:tr>
      <w:tr w:rsidR="000726D9" w:rsidRPr="00C60349" w:rsidTr="009A6AFD">
        <w:trPr>
          <w:jc w:val="center"/>
        </w:trPr>
        <w:tc>
          <w:tcPr>
            <w:tcW w:w="1081" w:type="dxa"/>
          </w:tcPr>
          <w:p w:rsidR="000726D9" w:rsidRDefault="000726D9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5055" w:type="dxa"/>
          </w:tcPr>
          <w:p w:rsidR="000726D9" w:rsidRPr="000726D9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 xml:space="preserve">Pasūtītāja prasību 4. sējuma 2.6. punktā minēta aizsardzības klase IP66 </w:t>
            </w:r>
            <w:proofErr w:type="spellStart"/>
            <w:r w:rsidRPr="000726D9">
              <w:rPr>
                <w:rFonts w:ascii="Times New Roman" w:hAnsi="Times New Roman" w:cs="Times New Roman"/>
                <w:szCs w:val="24"/>
              </w:rPr>
              <w:t>ārtelpu</w:t>
            </w:r>
            <w:proofErr w:type="spellEnd"/>
            <w:r w:rsidRPr="000726D9">
              <w:rPr>
                <w:rFonts w:ascii="Times New Roman" w:hAnsi="Times New Roman" w:cs="Times New Roman"/>
                <w:szCs w:val="24"/>
              </w:rPr>
              <w:t xml:space="preserve"> skaļruņiem, savukārt </w:t>
            </w:r>
            <w:proofErr w:type="spellStart"/>
            <w:r w:rsidRPr="000726D9">
              <w:rPr>
                <w:rFonts w:ascii="Times New Roman" w:hAnsi="Times New Roman" w:cs="Times New Roman"/>
                <w:szCs w:val="24"/>
              </w:rPr>
              <w:t>ārtelpu</w:t>
            </w:r>
            <w:proofErr w:type="spellEnd"/>
            <w:r w:rsidRPr="000726D9">
              <w:rPr>
                <w:rFonts w:ascii="Times New Roman" w:hAnsi="Times New Roman" w:cs="Times New Roman"/>
                <w:szCs w:val="24"/>
              </w:rPr>
              <w:t xml:space="preserve"> iekārtām nav definēta IP klase. </w:t>
            </w:r>
          </w:p>
          <w:p w:rsidR="000726D9" w:rsidRPr="00E70E6E" w:rsidRDefault="000726D9" w:rsidP="000726D9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>Vai prasībām atbilstošs būs piedāvājums, ja tiks piedāvāta pārrunu iekārta ar aizsardzības klasi IP66, norādot iekārtas aizsardzības līmeni gan pret putekļiem, gan mitrumu?</w:t>
            </w:r>
          </w:p>
        </w:tc>
        <w:tc>
          <w:tcPr>
            <w:tcW w:w="5058" w:type="dxa"/>
          </w:tcPr>
          <w:p w:rsidR="000726D9" w:rsidRPr="00C60349" w:rsidRDefault="00D24122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>Saskaņā ar Pasūtītāja prasību 4.sējuma 2.6.punkta sadaļas “Sarunu ierīces stabos” 9.apakšpunktu, sarunu ierīču IP aizsardzības klasei jābūt ne zemākai kā IP66.</w:t>
            </w:r>
          </w:p>
        </w:tc>
      </w:tr>
      <w:tr w:rsidR="000726D9" w:rsidRPr="00C60349" w:rsidTr="009A6AFD">
        <w:trPr>
          <w:jc w:val="center"/>
        </w:trPr>
        <w:tc>
          <w:tcPr>
            <w:tcW w:w="1081" w:type="dxa"/>
          </w:tcPr>
          <w:p w:rsidR="000726D9" w:rsidRDefault="000726D9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5.</w:t>
            </w:r>
          </w:p>
        </w:tc>
        <w:tc>
          <w:tcPr>
            <w:tcW w:w="5055" w:type="dxa"/>
          </w:tcPr>
          <w:p w:rsidR="000726D9" w:rsidRDefault="000726D9" w:rsidP="008A6FE5">
            <w:pPr>
              <w:rPr>
                <w:rFonts w:ascii="Times New Roman" w:hAnsi="Times New Roman" w:cs="Times New Roman"/>
                <w:szCs w:val="24"/>
              </w:rPr>
            </w:pPr>
            <w:r w:rsidRPr="000726D9">
              <w:rPr>
                <w:rFonts w:ascii="Times New Roman" w:hAnsi="Times New Roman" w:cs="Times New Roman"/>
                <w:szCs w:val="24"/>
              </w:rPr>
              <w:t xml:space="preserve">Pasūtītāja prasības 4. sējums 4. nodaļa. Vai piedāvātajām  150/450MHz stacionārajām un </w:t>
            </w:r>
            <w:proofErr w:type="spellStart"/>
            <w:r w:rsidRPr="000726D9">
              <w:rPr>
                <w:rFonts w:ascii="Times New Roman" w:hAnsi="Times New Roman" w:cs="Times New Roman"/>
                <w:szCs w:val="24"/>
              </w:rPr>
              <w:t>pārnesāmajām</w:t>
            </w:r>
            <w:proofErr w:type="spellEnd"/>
            <w:r w:rsidRPr="000726D9">
              <w:rPr>
                <w:rFonts w:ascii="Times New Roman" w:hAnsi="Times New Roman" w:cs="Times New Roman"/>
                <w:szCs w:val="24"/>
              </w:rPr>
              <w:t xml:space="preserve"> radiostacijām jādarbojas tikai analogajā režīmā?</w:t>
            </w:r>
          </w:p>
          <w:p w:rsidR="000726D9" w:rsidRPr="00E70E6E" w:rsidRDefault="000726D9" w:rsidP="008A6F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0726D9" w:rsidRPr="00C60349" w:rsidRDefault="00D24122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150/450 </w:t>
            </w:r>
            <w:proofErr w:type="spellStart"/>
            <w:r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>MHz</w:t>
            </w:r>
            <w:proofErr w:type="spellEnd"/>
            <w:r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stacionārajām un pārnēsājamām radiostacijām jābūt iespējai funkcionēt gan analogā</w:t>
            </w:r>
            <w:r w:rsidR="00B53F91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D2412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gan digitālā režīmā. </w:t>
            </w:r>
          </w:p>
        </w:tc>
      </w:tr>
      <w:tr w:rsidR="00155EE4" w:rsidRPr="00C60349" w:rsidTr="007E637C">
        <w:trPr>
          <w:jc w:val="center"/>
        </w:trPr>
        <w:tc>
          <w:tcPr>
            <w:tcW w:w="1081" w:type="dxa"/>
            <w:shd w:val="clear" w:color="auto" w:fill="DCFDD7"/>
          </w:tcPr>
          <w:p w:rsidR="00155EE4" w:rsidRPr="00CF44FC" w:rsidRDefault="00155EE4" w:rsidP="00155EE4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55" w:type="dxa"/>
            <w:shd w:val="clear" w:color="auto" w:fill="DCFDD7"/>
          </w:tcPr>
          <w:p w:rsidR="00155EE4" w:rsidRPr="00CF44FC" w:rsidRDefault="00155EE4" w:rsidP="00155EE4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24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.07.2019.</w:t>
            </w:r>
          </w:p>
        </w:tc>
        <w:tc>
          <w:tcPr>
            <w:tcW w:w="5058" w:type="dxa"/>
            <w:shd w:val="clear" w:color="auto" w:fill="DCFDD7"/>
          </w:tcPr>
          <w:p w:rsidR="00155EE4" w:rsidRPr="00CF44FC" w:rsidRDefault="00155EE4" w:rsidP="00155EE4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A813F0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487C0D">
              <w:rPr>
                <w:rFonts w:ascii="Times New Roman" w:eastAsia="Calibri" w:hAnsi="Times New Roman" w:cs="Times New Roman"/>
                <w:szCs w:val="24"/>
                <w:lang w:eastAsia="en-US"/>
              </w:rPr>
              <w:t>.07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155EE4" w:rsidRPr="00C60349" w:rsidTr="009A6AFD">
        <w:trPr>
          <w:jc w:val="center"/>
        </w:trPr>
        <w:tc>
          <w:tcPr>
            <w:tcW w:w="1081" w:type="dxa"/>
          </w:tcPr>
          <w:p w:rsidR="00155EE4" w:rsidRDefault="00155EE4" w:rsidP="00155E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6. </w:t>
            </w:r>
          </w:p>
        </w:tc>
        <w:tc>
          <w:tcPr>
            <w:tcW w:w="5055" w:type="dxa"/>
          </w:tcPr>
          <w:p w:rsidR="00155EE4" w:rsidRPr="00155EE4" w:rsidRDefault="00155EE4" w:rsidP="00155EE4">
            <w:pPr>
              <w:rPr>
                <w:rFonts w:ascii="Times New Roman" w:hAnsi="Times New Roman" w:cs="Times New Roman"/>
                <w:szCs w:val="24"/>
              </w:rPr>
            </w:pPr>
            <w:r w:rsidRPr="00155EE4">
              <w:rPr>
                <w:rFonts w:ascii="Times New Roman" w:hAnsi="Times New Roman" w:cs="Times New Roman"/>
                <w:szCs w:val="24"/>
              </w:rPr>
              <w:t xml:space="preserve">Pasūtītāja prasību 5. sējuma 1. punktā "Vispārīgās prasības" minēts, ka "Atbildīgie patērētāji" ir SCB, sakaru iekārtas un hidrauliskās apakšstacijas. </w:t>
            </w:r>
          </w:p>
          <w:p w:rsidR="00155EE4" w:rsidRDefault="00155EE4" w:rsidP="00155EE4">
            <w:pPr>
              <w:rPr>
                <w:rFonts w:ascii="Times New Roman" w:hAnsi="Times New Roman" w:cs="Times New Roman"/>
                <w:szCs w:val="24"/>
              </w:rPr>
            </w:pPr>
            <w:r w:rsidRPr="00155EE4">
              <w:rPr>
                <w:rFonts w:ascii="Times New Roman" w:hAnsi="Times New Roman" w:cs="Times New Roman"/>
                <w:szCs w:val="24"/>
              </w:rPr>
              <w:t>Vai pareizi saprotam, ka hidraulisko apakšstaciju vadība ir jānodrošina ar SCADA sistēmu?</w:t>
            </w:r>
          </w:p>
          <w:p w:rsidR="00155EE4" w:rsidRPr="000726D9" w:rsidRDefault="00155EE4" w:rsidP="00155E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155EE4" w:rsidRPr="00D24122" w:rsidRDefault="00FE5AE2" w:rsidP="00155EE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E5AE2">
              <w:rPr>
                <w:rFonts w:ascii="Times New Roman" w:eastAsia="Calibri" w:hAnsi="Times New Roman" w:cs="Times New Roman"/>
                <w:szCs w:val="24"/>
                <w:lang w:eastAsia="en-US"/>
              </w:rPr>
              <w:t>Saskaņā ar Pasūtītāja prasību 5.sējumu “Elektroapgāde” elektroapgādes sistēmas vadība un kontrole jānodrošina ar SCADA palīdzību.</w:t>
            </w:r>
          </w:p>
        </w:tc>
      </w:tr>
      <w:tr w:rsidR="00D15318" w:rsidRPr="00C60349" w:rsidTr="009A6AFD">
        <w:trPr>
          <w:jc w:val="center"/>
        </w:trPr>
        <w:tc>
          <w:tcPr>
            <w:tcW w:w="1081" w:type="dxa"/>
          </w:tcPr>
          <w:p w:rsidR="00D15318" w:rsidRDefault="00D15318" w:rsidP="00155E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7. </w:t>
            </w:r>
          </w:p>
        </w:tc>
        <w:tc>
          <w:tcPr>
            <w:tcW w:w="5055" w:type="dxa"/>
          </w:tcPr>
          <w:p w:rsidR="001352CF" w:rsidRPr="001352CF" w:rsidRDefault="00A96F72" w:rsidP="001352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Papildus skaidrojums</w:t>
            </w:r>
            <w:r w:rsidR="000355FC">
              <w:rPr>
                <w:rFonts w:ascii="Times New Roman" w:hAnsi="Times New Roman" w:cs="Times New Roman"/>
                <w:szCs w:val="24"/>
              </w:rPr>
              <w:t xml:space="preserve"> (informācijas tulkojums latviešu valodā)</w:t>
            </w:r>
            <w:r>
              <w:rPr>
                <w:rFonts w:ascii="Times New Roman" w:hAnsi="Times New Roman" w:cs="Times New Roman"/>
                <w:szCs w:val="24"/>
              </w:rPr>
              <w:t xml:space="preserve">, lai nodrošinātu </w:t>
            </w:r>
            <w:r w:rsidR="001352CF" w:rsidRPr="001352CF">
              <w:rPr>
                <w:rFonts w:ascii="Times New Roman" w:hAnsi="Times New Roman" w:cs="Times New Roman"/>
                <w:szCs w:val="24"/>
              </w:rPr>
              <w:t>Valsts valodas likuma 8.panta pirmajā daļā noteikto</w:t>
            </w:r>
            <w:r w:rsidR="000355FC">
              <w:rPr>
                <w:rFonts w:ascii="Times New Roman" w:hAnsi="Times New Roman" w:cs="Times New Roman"/>
                <w:szCs w:val="24"/>
              </w:rPr>
              <w:t>.</w:t>
            </w:r>
            <w:r w:rsidR="001352CF" w:rsidRPr="001352C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96F72" w:rsidRPr="00155EE4" w:rsidRDefault="00A96F72" w:rsidP="00A96F7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A96F72" w:rsidRDefault="00A96F72" w:rsidP="00A96F7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Pr="00A96F72">
              <w:rPr>
                <w:rFonts w:ascii="Times New Roman" w:hAnsi="Times New Roman" w:cs="Times New Roman"/>
                <w:szCs w:val="24"/>
              </w:rPr>
              <w:t>olikuma 5.pielikuma “Pasūtītāja prasības” 3.sējum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A96F72">
              <w:rPr>
                <w:rFonts w:ascii="Times New Roman" w:hAnsi="Times New Roman" w:cs="Times New Roman"/>
                <w:szCs w:val="24"/>
              </w:rPr>
              <w:t xml:space="preserve"> “Uzkalna vadības sistēma”</w:t>
            </w:r>
            <w:r w:rsidR="000355FC">
              <w:rPr>
                <w:rFonts w:ascii="Times New Roman" w:hAnsi="Times New Roman" w:cs="Times New Roman"/>
                <w:szCs w:val="24"/>
              </w:rPr>
              <w:t xml:space="preserve"> tulkojums latviešu valodā *</w:t>
            </w:r>
          </w:p>
          <w:p w:rsidR="00D15318" w:rsidRPr="00FE5AE2" w:rsidRDefault="00D15318" w:rsidP="00155EE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163F1B" w:rsidRDefault="00163F1B" w:rsidP="003F3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318" w:rsidRDefault="00D15318" w:rsidP="003F3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318" w:rsidRPr="00EC09CB" w:rsidRDefault="00D15318" w:rsidP="00D15318">
      <w:pPr>
        <w:ind w:left="-284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9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Pasūtītājs nodrošina </w:t>
      </w:r>
      <w:r>
        <w:rPr>
          <w:rFonts w:ascii="Times New Roman" w:hAnsi="Times New Roman" w:cs="Times New Roman"/>
          <w:b/>
          <w:sz w:val="24"/>
          <w:szCs w:val="24"/>
        </w:rPr>
        <w:t>informācijas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(pielikums atbildei Nr.</w:t>
      </w:r>
      <w:r w:rsidR="000355F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izsniegšanu ārējā datu nesējā (CD) </w:t>
      </w:r>
      <w:r>
        <w:rPr>
          <w:rFonts w:ascii="Times New Roman" w:hAnsi="Times New Roman" w:cs="Times New Roman"/>
          <w:b/>
          <w:sz w:val="24"/>
          <w:szCs w:val="24"/>
        </w:rPr>
        <w:t>tās pašas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 darba dien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 laikā pēc ieinteresētā piegādātāja pieprasījuma</w:t>
      </w:r>
      <w:r>
        <w:rPr>
          <w:rFonts w:ascii="Times New Roman" w:hAnsi="Times New Roman" w:cs="Times New Roman"/>
          <w:b/>
          <w:sz w:val="24"/>
          <w:szCs w:val="24"/>
        </w:rPr>
        <w:t xml:space="preserve"> (ja pieprasījums saņemts līdz plkst.15.00)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, ievērojot nosacījumu, ka dokumentu pieprasījums iesniegts laikus pirms piedāvājuma iesniegšanas termiņa, nosūtot pieprasījumu Nolikuma 2.3.punktā minētajai kontaktpersonai. Saņemot </w:t>
      </w:r>
      <w:r>
        <w:rPr>
          <w:rFonts w:ascii="Times New Roman" w:hAnsi="Times New Roman" w:cs="Times New Roman"/>
          <w:b/>
          <w:sz w:val="24"/>
          <w:szCs w:val="24"/>
        </w:rPr>
        <w:t>informāciju</w:t>
      </w:r>
      <w:r w:rsidRPr="001038D3">
        <w:rPr>
          <w:rFonts w:ascii="Times New Roman" w:hAnsi="Times New Roman" w:cs="Times New Roman"/>
          <w:b/>
          <w:sz w:val="24"/>
          <w:szCs w:val="24"/>
        </w:rPr>
        <w:t xml:space="preserve"> ārējā datu nesējā (CD), ieinteresētais piegādātājs ar savu parakstu Pasūtītājam apliecina, ka ir informēts par to, ka Pasūtītāja prasības satur LDZ komercnoslēpumu atbilstoši Komerclikuma 19.pantam un iekļautā/pievienotā satura patvaļīga izpaušana, izplatīšana vai izmainīšana ir aizliegta un var tikt uzskatīta kā prettiesiska rīcība.</w:t>
      </w:r>
    </w:p>
    <w:p w:rsidR="00D15318" w:rsidRPr="00C60349" w:rsidRDefault="00D15318" w:rsidP="003F31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15318" w:rsidRPr="00C60349" w:rsidSect="0044401B">
      <w:footerReference w:type="default" r:id="rId7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D87" w:rsidRDefault="008D2D87" w:rsidP="00591256">
      <w:r>
        <w:separator/>
      </w:r>
    </w:p>
  </w:endnote>
  <w:endnote w:type="continuationSeparator" w:id="0">
    <w:p w:rsidR="008D2D87" w:rsidRDefault="008D2D8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D87" w:rsidRDefault="008D2D87" w:rsidP="00591256">
      <w:r>
        <w:separator/>
      </w:r>
    </w:p>
  </w:footnote>
  <w:footnote w:type="continuationSeparator" w:id="0">
    <w:p w:rsidR="008D2D87" w:rsidRDefault="008D2D8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6BBF"/>
    <w:rsid w:val="000355FC"/>
    <w:rsid w:val="00052337"/>
    <w:rsid w:val="00057DFF"/>
    <w:rsid w:val="00060E5C"/>
    <w:rsid w:val="0006665B"/>
    <w:rsid w:val="000726D9"/>
    <w:rsid w:val="00086655"/>
    <w:rsid w:val="00094B50"/>
    <w:rsid w:val="000A294A"/>
    <w:rsid w:val="000E62C6"/>
    <w:rsid w:val="000F0FAC"/>
    <w:rsid w:val="000F2C74"/>
    <w:rsid w:val="00105885"/>
    <w:rsid w:val="00111BF2"/>
    <w:rsid w:val="00116AE7"/>
    <w:rsid w:val="001352CF"/>
    <w:rsid w:val="00143C7E"/>
    <w:rsid w:val="00155EE4"/>
    <w:rsid w:val="00163F1B"/>
    <w:rsid w:val="001702A3"/>
    <w:rsid w:val="001828CE"/>
    <w:rsid w:val="001A3C4E"/>
    <w:rsid w:val="001A3CAD"/>
    <w:rsid w:val="001B7B25"/>
    <w:rsid w:val="001C5BC7"/>
    <w:rsid w:val="001D410E"/>
    <w:rsid w:val="001E172F"/>
    <w:rsid w:val="001E7244"/>
    <w:rsid w:val="001F0545"/>
    <w:rsid w:val="001F2825"/>
    <w:rsid w:val="002178F2"/>
    <w:rsid w:val="00222B28"/>
    <w:rsid w:val="002247D0"/>
    <w:rsid w:val="00224E42"/>
    <w:rsid w:val="0024205C"/>
    <w:rsid w:val="0024545C"/>
    <w:rsid w:val="00253F47"/>
    <w:rsid w:val="00265DC7"/>
    <w:rsid w:val="00283A0F"/>
    <w:rsid w:val="0028443C"/>
    <w:rsid w:val="00291CA7"/>
    <w:rsid w:val="002B3EEF"/>
    <w:rsid w:val="002E107A"/>
    <w:rsid w:val="002E23F3"/>
    <w:rsid w:val="002F4012"/>
    <w:rsid w:val="003253B5"/>
    <w:rsid w:val="00330242"/>
    <w:rsid w:val="00344070"/>
    <w:rsid w:val="003872C0"/>
    <w:rsid w:val="00390F2C"/>
    <w:rsid w:val="003957DA"/>
    <w:rsid w:val="003A50C2"/>
    <w:rsid w:val="003A7B47"/>
    <w:rsid w:val="003C2B49"/>
    <w:rsid w:val="003C380E"/>
    <w:rsid w:val="003C5A07"/>
    <w:rsid w:val="003D576F"/>
    <w:rsid w:val="003F3132"/>
    <w:rsid w:val="00401D24"/>
    <w:rsid w:val="004045D5"/>
    <w:rsid w:val="0044401B"/>
    <w:rsid w:val="00445D89"/>
    <w:rsid w:val="00454DBB"/>
    <w:rsid w:val="00460E60"/>
    <w:rsid w:val="00487C0D"/>
    <w:rsid w:val="00492F79"/>
    <w:rsid w:val="004B08E0"/>
    <w:rsid w:val="004B0E9C"/>
    <w:rsid w:val="004B7E16"/>
    <w:rsid w:val="004C7DEF"/>
    <w:rsid w:val="004D0C76"/>
    <w:rsid w:val="004D6653"/>
    <w:rsid w:val="004E30E3"/>
    <w:rsid w:val="004F1978"/>
    <w:rsid w:val="004F21DA"/>
    <w:rsid w:val="00506654"/>
    <w:rsid w:val="00511293"/>
    <w:rsid w:val="00534CCA"/>
    <w:rsid w:val="00535F98"/>
    <w:rsid w:val="005758A8"/>
    <w:rsid w:val="00591256"/>
    <w:rsid w:val="005912AF"/>
    <w:rsid w:val="005A0134"/>
    <w:rsid w:val="005D24C3"/>
    <w:rsid w:val="005D7E56"/>
    <w:rsid w:val="005E3784"/>
    <w:rsid w:val="0061613B"/>
    <w:rsid w:val="0062394D"/>
    <w:rsid w:val="006260C2"/>
    <w:rsid w:val="00634E93"/>
    <w:rsid w:val="006366B0"/>
    <w:rsid w:val="00640644"/>
    <w:rsid w:val="00650EA8"/>
    <w:rsid w:val="00662D18"/>
    <w:rsid w:val="006711DD"/>
    <w:rsid w:val="006A52B9"/>
    <w:rsid w:val="006B099C"/>
    <w:rsid w:val="006B09D6"/>
    <w:rsid w:val="006B53F4"/>
    <w:rsid w:val="006B7646"/>
    <w:rsid w:val="006C0327"/>
    <w:rsid w:val="006D5495"/>
    <w:rsid w:val="006F3793"/>
    <w:rsid w:val="006F698B"/>
    <w:rsid w:val="00713FBD"/>
    <w:rsid w:val="00731E66"/>
    <w:rsid w:val="007341FF"/>
    <w:rsid w:val="00735553"/>
    <w:rsid w:val="007576F6"/>
    <w:rsid w:val="00773099"/>
    <w:rsid w:val="00773B71"/>
    <w:rsid w:val="00775E16"/>
    <w:rsid w:val="00783B1D"/>
    <w:rsid w:val="007847B7"/>
    <w:rsid w:val="00787270"/>
    <w:rsid w:val="0079216E"/>
    <w:rsid w:val="00793FDF"/>
    <w:rsid w:val="007E035C"/>
    <w:rsid w:val="007F5B7B"/>
    <w:rsid w:val="0080479B"/>
    <w:rsid w:val="008219EC"/>
    <w:rsid w:val="00832B6C"/>
    <w:rsid w:val="008414E9"/>
    <w:rsid w:val="00842984"/>
    <w:rsid w:val="00856808"/>
    <w:rsid w:val="008752FD"/>
    <w:rsid w:val="008763E4"/>
    <w:rsid w:val="00893D4E"/>
    <w:rsid w:val="008A4E22"/>
    <w:rsid w:val="008A6352"/>
    <w:rsid w:val="008A6FE5"/>
    <w:rsid w:val="008C59C7"/>
    <w:rsid w:val="008D2D87"/>
    <w:rsid w:val="009431B9"/>
    <w:rsid w:val="009624F7"/>
    <w:rsid w:val="00971AA6"/>
    <w:rsid w:val="009A6AFD"/>
    <w:rsid w:val="009D7EFA"/>
    <w:rsid w:val="009E7606"/>
    <w:rsid w:val="009F16C0"/>
    <w:rsid w:val="00A000B8"/>
    <w:rsid w:val="00A06273"/>
    <w:rsid w:val="00A178B5"/>
    <w:rsid w:val="00A202D1"/>
    <w:rsid w:val="00A208FA"/>
    <w:rsid w:val="00A3521F"/>
    <w:rsid w:val="00A5333F"/>
    <w:rsid w:val="00A55201"/>
    <w:rsid w:val="00A6286F"/>
    <w:rsid w:val="00A813F0"/>
    <w:rsid w:val="00A85F72"/>
    <w:rsid w:val="00A96EB3"/>
    <w:rsid w:val="00A96F72"/>
    <w:rsid w:val="00AB5C67"/>
    <w:rsid w:val="00AC59FF"/>
    <w:rsid w:val="00AC7B56"/>
    <w:rsid w:val="00AE5484"/>
    <w:rsid w:val="00AE5C91"/>
    <w:rsid w:val="00B049AE"/>
    <w:rsid w:val="00B04E8A"/>
    <w:rsid w:val="00B21B4B"/>
    <w:rsid w:val="00B30B4F"/>
    <w:rsid w:val="00B3214C"/>
    <w:rsid w:val="00B41A77"/>
    <w:rsid w:val="00B53F91"/>
    <w:rsid w:val="00B57CB0"/>
    <w:rsid w:val="00B9005B"/>
    <w:rsid w:val="00BB3722"/>
    <w:rsid w:val="00C1396C"/>
    <w:rsid w:val="00C27CC9"/>
    <w:rsid w:val="00C351C9"/>
    <w:rsid w:val="00C36E18"/>
    <w:rsid w:val="00C44C9F"/>
    <w:rsid w:val="00C46156"/>
    <w:rsid w:val="00C530D1"/>
    <w:rsid w:val="00C5452E"/>
    <w:rsid w:val="00C556E5"/>
    <w:rsid w:val="00C60349"/>
    <w:rsid w:val="00C867EA"/>
    <w:rsid w:val="00CB18E2"/>
    <w:rsid w:val="00CB2245"/>
    <w:rsid w:val="00CC3D19"/>
    <w:rsid w:val="00CF44FC"/>
    <w:rsid w:val="00D14CC6"/>
    <w:rsid w:val="00D15318"/>
    <w:rsid w:val="00D24122"/>
    <w:rsid w:val="00D37EC1"/>
    <w:rsid w:val="00D44C91"/>
    <w:rsid w:val="00D46821"/>
    <w:rsid w:val="00D51540"/>
    <w:rsid w:val="00D65325"/>
    <w:rsid w:val="00D655B3"/>
    <w:rsid w:val="00D7506C"/>
    <w:rsid w:val="00D775C1"/>
    <w:rsid w:val="00D80E50"/>
    <w:rsid w:val="00D85DA8"/>
    <w:rsid w:val="00DA6425"/>
    <w:rsid w:val="00DD283A"/>
    <w:rsid w:val="00E06C32"/>
    <w:rsid w:val="00E07A22"/>
    <w:rsid w:val="00E30FB4"/>
    <w:rsid w:val="00E66EEE"/>
    <w:rsid w:val="00E70E6E"/>
    <w:rsid w:val="00E74F21"/>
    <w:rsid w:val="00E82AFA"/>
    <w:rsid w:val="00EA2EC9"/>
    <w:rsid w:val="00EA572A"/>
    <w:rsid w:val="00EB076E"/>
    <w:rsid w:val="00EB0EC3"/>
    <w:rsid w:val="00EC011B"/>
    <w:rsid w:val="00ED570E"/>
    <w:rsid w:val="00ED72A4"/>
    <w:rsid w:val="00EE1FEB"/>
    <w:rsid w:val="00EE321D"/>
    <w:rsid w:val="00EE74E0"/>
    <w:rsid w:val="00F05DFB"/>
    <w:rsid w:val="00F76163"/>
    <w:rsid w:val="00F9799B"/>
    <w:rsid w:val="00FA2FD6"/>
    <w:rsid w:val="00FB4F6D"/>
    <w:rsid w:val="00FB6D3B"/>
    <w:rsid w:val="00FC4B4C"/>
    <w:rsid w:val="00FD6C84"/>
    <w:rsid w:val="00FE47D8"/>
    <w:rsid w:val="00FE5AE2"/>
    <w:rsid w:val="00FE631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4B0E8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11</cp:revision>
  <cp:lastPrinted>2019-07-15T10:55:00Z</cp:lastPrinted>
  <dcterms:created xsi:type="dcterms:W3CDTF">2019-07-24T10:38:00Z</dcterms:created>
  <dcterms:modified xsi:type="dcterms:W3CDTF">2019-07-26T08:47:00Z</dcterms:modified>
</cp:coreProperties>
</file>