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B4F" w:rsidRPr="00810B79" w:rsidRDefault="00B30B4F" w:rsidP="00810B79">
      <w:pPr>
        <w:tabs>
          <w:tab w:val="left" w:pos="3760"/>
        </w:tabs>
        <w:spacing w:before="120"/>
        <w:ind w:left="-284" w:right="282" w:firstLine="4395"/>
        <w:jc w:val="both"/>
        <w:rPr>
          <w:rFonts w:ascii="Times New Roman" w:hAnsi="Times New Roman" w:cs="Times New Roman"/>
          <w:i/>
          <w:sz w:val="24"/>
          <w:szCs w:val="24"/>
        </w:rPr>
      </w:pPr>
    </w:p>
    <w:p w:rsidR="001A3CAD" w:rsidRPr="00810B79" w:rsidRDefault="001A3CAD" w:rsidP="00810B79">
      <w:pPr>
        <w:tabs>
          <w:tab w:val="left" w:pos="3760"/>
        </w:tabs>
        <w:spacing w:before="120"/>
        <w:ind w:left="-284" w:right="282" w:firstLine="4395"/>
        <w:jc w:val="right"/>
        <w:rPr>
          <w:rFonts w:ascii="Times New Roman" w:hAnsi="Times New Roman" w:cs="Times New Roman"/>
          <w:i/>
          <w:sz w:val="24"/>
          <w:szCs w:val="24"/>
        </w:rPr>
      </w:pPr>
      <w:r w:rsidRPr="00810B79">
        <w:rPr>
          <w:rFonts w:ascii="Times New Roman" w:hAnsi="Times New Roman" w:cs="Times New Roman"/>
          <w:i/>
          <w:sz w:val="24"/>
          <w:szCs w:val="24"/>
        </w:rPr>
        <w:t>APSTIPRINĀTS:</w:t>
      </w:r>
    </w:p>
    <w:p w:rsidR="001A3CAD" w:rsidRPr="003759C9" w:rsidRDefault="001A3CAD" w:rsidP="00810B79">
      <w:pPr>
        <w:tabs>
          <w:tab w:val="left" w:pos="3760"/>
        </w:tabs>
        <w:spacing w:before="120"/>
        <w:ind w:left="-284" w:right="282" w:firstLine="4395"/>
        <w:jc w:val="right"/>
        <w:rPr>
          <w:rFonts w:ascii="Times New Roman" w:hAnsi="Times New Roman" w:cs="Times New Roman"/>
          <w:i/>
          <w:sz w:val="24"/>
          <w:szCs w:val="24"/>
        </w:rPr>
      </w:pPr>
      <w:r w:rsidRPr="00810B79">
        <w:rPr>
          <w:rFonts w:ascii="Times New Roman" w:hAnsi="Times New Roman" w:cs="Times New Roman"/>
          <w:i/>
          <w:sz w:val="24"/>
          <w:szCs w:val="24"/>
        </w:rPr>
        <w:t xml:space="preserve">ar iepirkuma komisijas </w:t>
      </w:r>
      <w:r w:rsidRPr="00810B79">
        <w:rPr>
          <w:rFonts w:ascii="Times New Roman" w:eastAsia="Arial Unicode MS" w:hAnsi="Times New Roman" w:cs="Times New Roman"/>
          <w:i/>
          <w:sz w:val="24"/>
          <w:szCs w:val="24"/>
        </w:rPr>
        <w:t>2019</w:t>
      </w:r>
      <w:r w:rsidRPr="003759C9">
        <w:rPr>
          <w:rFonts w:ascii="Times New Roman" w:eastAsia="Arial Unicode MS" w:hAnsi="Times New Roman" w:cs="Times New Roman"/>
          <w:i/>
          <w:sz w:val="24"/>
          <w:szCs w:val="24"/>
        </w:rPr>
        <w:t xml:space="preserve">.gada </w:t>
      </w:r>
      <w:r w:rsidR="003759C9" w:rsidRPr="003759C9">
        <w:rPr>
          <w:rFonts w:ascii="Times New Roman" w:eastAsia="Arial Unicode MS" w:hAnsi="Times New Roman" w:cs="Times New Roman"/>
          <w:i/>
          <w:sz w:val="24"/>
          <w:szCs w:val="24"/>
        </w:rPr>
        <w:t>1</w:t>
      </w:r>
      <w:r w:rsidR="00641E1F" w:rsidRPr="003759C9">
        <w:rPr>
          <w:rFonts w:ascii="Times New Roman" w:eastAsia="Arial Unicode MS" w:hAnsi="Times New Roman" w:cs="Times New Roman"/>
          <w:i/>
          <w:sz w:val="24"/>
          <w:szCs w:val="24"/>
        </w:rPr>
        <w:t>.</w:t>
      </w:r>
      <w:r w:rsidR="00E0059C" w:rsidRPr="003759C9">
        <w:rPr>
          <w:rFonts w:ascii="Times New Roman" w:eastAsia="Arial Unicode MS" w:hAnsi="Times New Roman" w:cs="Times New Roman"/>
          <w:i/>
          <w:sz w:val="24"/>
          <w:szCs w:val="24"/>
        </w:rPr>
        <w:t>augusta</w:t>
      </w:r>
    </w:p>
    <w:p w:rsidR="001A3CAD" w:rsidRPr="00810B79" w:rsidRDefault="001A3CAD" w:rsidP="00810B79">
      <w:pPr>
        <w:tabs>
          <w:tab w:val="left" w:pos="3760"/>
        </w:tabs>
        <w:spacing w:before="120"/>
        <w:ind w:left="-284" w:right="282" w:firstLine="4395"/>
        <w:jc w:val="right"/>
        <w:rPr>
          <w:rFonts w:ascii="Times New Roman" w:hAnsi="Times New Roman" w:cs="Times New Roman"/>
          <w:i/>
          <w:sz w:val="24"/>
          <w:szCs w:val="24"/>
        </w:rPr>
      </w:pPr>
      <w:r w:rsidRPr="003759C9">
        <w:rPr>
          <w:rFonts w:ascii="Times New Roman" w:eastAsia="Arial Unicode MS" w:hAnsi="Times New Roman" w:cs="Times New Roman"/>
          <w:i/>
          <w:sz w:val="24"/>
          <w:szCs w:val="24"/>
        </w:rPr>
        <w:t>sēdes protokolu Nr.</w:t>
      </w:r>
      <w:r w:rsidR="00E0059C" w:rsidRPr="003759C9">
        <w:rPr>
          <w:rFonts w:ascii="Times New Roman" w:eastAsia="Arial Unicode MS" w:hAnsi="Times New Roman" w:cs="Times New Roman"/>
          <w:i/>
          <w:sz w:val="24"/>
          <w:szCs w:val="24"/>
        </w:rPr>
        <w:t>1</w:t>
      </w:r>
      <w:r w:rsidR="00D3561F">
        <w:rPr>
          <w:rFonts w:ascii="Times New Roman" w:eastAsia="Arial Unicode MS" w:hAnsi="Times New Roman" w:cs="Times New Roman"/>
          <w:i/>
          <w:sz w:val="24"/>
          <w:szCs w:val="24"/>
        </w:rPr>
        <w:t>1</w:t>
      </w:r>
    </w:p>
    <w:p w:rsidR="001A3CAD" w:rsidRPr="00810B79" w:rsidRDefault="001A3CAD" w:rsidP="003759C9">
      <w:pPr>
        <w:tabs>
          <w:tab w:val="left" w:pos="3760"/>
        </w:tabs>
        <w:spacing w:before="120"/>
        <w:ind w:right="282"/>
        <w:rPr>
          <w:rFonts w:ascii="Times New Roman" w:hAnsi="Times New Roman" w:cs="Times New Roman"/>
          <w:b/>
          <w:sz w:val="24"/>
          <w:szCs w:val="24"/>
        </w:rPr>
      </w:pPr>
    </w:p>
    <w:p w:rsidR="00713CA1" w:rsidRPr="008B6DE7" w:rsidRDefault="00713CA1" w:rsidP="00810B79">
      <w:pPr>
        <w:pStyle w:val="Title"/>
        <w:spacing w:before="120"/>
        <w:rPr>
          <w:b/>
          <w:sz w:val="24"/>
          <w:szCs w:val="24"/>
        </w:rPr>
      </w:pPr>
      <w:r w:rsidRPr="008B6DE7">
        <w:rPr>
          <w:b/>
          <w:sz w:val="24"/>
          <w:szCs w:val="24"/>
        </w:rPr>
        <w:t>VAS “Latvijas dzelzceļš”</w:t>
      </w:r>
    </w:p>
    <w:p w:rsidR="00713CA1" w:rsidRPr="00810B79" w:rsidRDefault="00713CA1" w:rsidP="00810B79">
      <w:pPr>
        <w:pStyle w:val="Title"/>
        <w:spacing w:before="120"/>
        <w:rPr>
          <w:b/>
          <w:sz w:val="24"/>
          <w:szCs w:val="24"/>
        </w:rPr>
      </w:pPr>
      <w:r w:rsidRPr="00810B79">
        <w:rPr>
          <w:b/>
          <w:sz w:val="24"/>
          <w:szCs w:val="24"/>
        </w:rPr>
        <w:t>Atklātā konkursa</w:t>
      </w:r>
    </w:p>
    <w:p w:rsidR="00713CA1" w:rsidRPr="00810B79" w:rsidRDefault="00713CA1" w:rsidP="00810B79">
      <w:pPr>
        <w:pStyle w:val="Title"/>
        <w:spacing w:before="120"/>
        <w:rPr>
          <w:b/>
          <w:sz w:val="24"/>
          <w:szCs w:val="24"/>
        </w:rPr>
      </w:pPr>
      <w:r w:rsidRPr="00810B79">
        <w:rPr>
          <w:b/>
          <w:sz w:val="24"/>
          <w:szCs w:val="24"/>
        </w:rPr>
        <w:t>„</w:t>
      </w:r>
      <w:bookmarkStart w:id="0" w:name="_Hlk10105449"/>
      <w:r w:rsidRPr="00810B79">
        <w:rPr>
          <w:b/>
          <w:sz w:val="24"/>
          <w:szCs w:val="24"/>
        </w:rPr>
        <w:t>Rīgas dzelzceļa mezgla posma Sarkandaugava – Mangaļi – Ziemeļblāzma modernizācija: būvniecība</w:t>
      </w:r>
      <w:bookmarkEnd w:id="0"/>
      <w:r w:rsidRPr="00810B79">
        <w:rPr>
          <w:b/>
          <w:sz w:val="24"/>
          <w:szCs w:val="24"/>
        </w:rPr>
        <w:t>”</w:t>
      </w:r>
    </w:p>
    <w:p w:rsidR="001A3CAD" w:rsidRPr="00D3561F" w:rsidRDefault="00713CA1" w:rsidP="00D3561F">
      <w:pPr>
        <w:pStyle w:val="Title"/>
        <w:spacing w:before="120"/>
        <w:rPr>
          <w:b/>
          <w:sz w:val="24"/>
          <w:szCs w:val="24"/>
        </w:rPr>
      </w:pPr>
      <w:r w:rsidRPr="00810B79">
        <w:rPr>
          <w:b/>
          <w:sz w:val="24"/>
          <w:szCs w:val="24"/>
        </w:rPr>
        <w:t xml:space="preserve">(iepirkuma identifikācijas Nr. </w:t>
      </w:r>
      <w:bookmarkStart w:id="1" w:name="_Hlk10105422"/>
      <w:r w:rsidRPr="00810B79">
        <w:rPr>
          <w:b/>
          <w:sz w:val="24"/>
          <w:szCs w:val="24"/>
        </w:rPr>
        <w:t>LDZ 2019/5-IB/6.2.1.2/16/I/001/01-04</w:t>
      </w:r>
      <w:bookmarkEnd w:id="1"/>
      <w:r w:rsidRPr="00810B79">
        <w:rPr>
          <w:b/>
          <w:sz w:val="24"/>
          <w:szCs w:val="24"/>
        </w:rPr>
        <w:t>)</w:t>
      </w:r>
      <w:bookmarkStart w:id="2" w:name="_GoBack"/>
      <w:bookmarkEnd w:id="2"/>
    </w:p>
    <w:p w:rsidR="005758A8" w:rsidRPr="00810B79" w:rsidRDefault="001A3CAD" w:rsidP="00810B79">
      <w:pPr>
        <w:spacing w:before="120"/>
        <w:ind w:left="-284" w:right="282"/>
        <w:jc w:val="center"/>
        <w:rPr>
          <w:rFonts w:ascii="Times New Roman" w:hAnsi="Times New Roman" w:cs="Times New Roman"/>
          <w:b/>
          <w:sz w:val="24"/>
          <w:szCs w:val="24"/>
        </w:rPr>
      </w:pPr>
      <w:r w:rsidRPr="00810B79">
        <w:rPr>
          <w:rFonts w:ascii="Times New Roman" w:hAnsi="Times New Roman" w:cs="Times New Roman"/>
          <w:b/>
          <w:sz w:val="24"/>
          <w:szCs w:val="24"/>
        </w:rPr>
        <w:t>SKAIDROJUMS Nr.</w:t>
      </w:r>
      <w:r w:rsidR="00E0059C">
        <w:rPr>
          <w:rFonts w:ascii="Times New Roman" w:hAnsi="Times New Roman" w:cs="Times New Roman"/>
          <w:b/>
          <w:sz w:val="24"/>
          <w:szCs w:val="24"/>
        </w:rPr>
        <w:t>8</w:t>
      </w:r>
    </w:p>
    <w:p w:rsidR="002E107A" w:rsidRPr="00810B79" w:rsidRDefault="002E107A" w:rsidP="00810B79">
      <w:pPr>
        <w:spacing w:before="120"/>
        <w:ind w:right="282"/>
        <w:rPr>
          <w:rFonts w:ascii="Times New Roman" w:hAnsi="Times New Roman" w:cs="Times New Roman"/>
          <w:b/>
          <w:sz w:val="24"/>
          <w:szCs w:val="24"/>
        </w:rPr>
      </w:pPr>
    </w:p>
    <w:tbl>
      <w:tblPr>
        <w:tblStyle w:val="TableGrid"/>
        <w:tblW w:w="9776" w:type="dxa"/>
        <w:jc w:val="center"/>
        <w:tblLook w:val="04A0" w:firstRow="1" w:lastRow="0" w:firstColumn="1" w:lastColumn="0" w:noHBand="0" w:noVBand="1"/>
      </w:tblPr>
      <w:tblGrid>
        <w:gridCol w:w="890"/>
        <w:gridCol w:w="5029"/>
        <w:gridCol w:w="3857"/>
      </w:tblGrid>
      <w:tr w:rsidR="00D7671F" w:rsidRPr="008B6DE7" w:rsidTr="006C13E6">
        <w:trPr>
          <w:trHeight w:val="543"/>
          <w:jc w:val="center"/>
        </w:trPr>
        <w:tc>
          <w:tcPr>
            <w:tcW w:w="890" w:type="dxa"/>
            <w:shd w:val="clear" w:color="auto" w:fill="FFF2CC"/>
          </w:tcPr>
          <w:p w:rsidR="004D6653" w:rsidRPr="00810B79" w:rsidRDefault="004D6653" w:rsidP="008B6DE7">
            <w:pPr>
              <w:spacing w:before="120"/>
              <w:jc w:val="center"/>
              <w:rPr>
                <w:rFonts w:ascii="Times New Roman" w:eastAsia="Calibri" w:hAnsi="Times New Roman" w:cs="Times New Roman"/>
                <w:szCs w:val="24"/>
                <w:lang w:eastAsia="en-US"/>
              </w:rPr>
            </w:pPr>
            <w:proofErr w:type="spellStart"/>
            <w:r w:rsidRPr="00810B79">
              <w:rPr>
                <w:rFonts w:ascii="Times New Roman" w:eastAsia="Calibri" w:hAnsi="Times New Roman" w:cs="Times New Roman"/>
                <w:szCs w:val="24"/>
                <w:lang w:eastAsia="en-US"/>
              </w:rPr>
              <w:t>Nr.p.k</w:t>
            </w:r>
            <w:proofErr w:type="spellEnd"/>
            <w:r w:rsidRPr="00810B79">
              <w:rPr>
                <w:rFonts w:ascii="Times New Roman" w:eastAsia="Calibri" w:hAnsi="Times New Roman" w:cs="Times New Roman"/>
                <w:szCs w:val="24"/>
                <w:lang w:eastAsia="en-US"/>
              </w:rPr>
              <w:t>.</w:t>
            </w:r>
          </w:p>
        </w:tc>
        <w:tc>
          <w:tcPr>
            <w:tcW w:w="5029" w:type="dxa"/>
            <w:shd w:val="clear" w:color="auto" w:fill="FFF2CC"/>
          </w:tcPr>
          <w:p w:rsidR="004D6653" w:rsidRPr="00810B79" w:rsidRDefault="004D6653" w:rsidP="00810B79">
            <w:pPr>
              <w:spacing w:before="120"/>
              <w:jc w:val="center"/>
              <w:rPr>
                <w:rFonts w:ascii="Times New Roman" w:eastAsia="Calibri" w:hAnsi="Times New Roman" w:cs="Times New Roman"/>
                <w:i/>
                <w:szCs w:val="24"/>
                <w:lang w:eastAsia="en-US"/>
              </w:rPr>
            </w:pPr>
            <w:r w:rsidRPr="00810B79">
              <w:rPr>
                <w:rFonts w:ascii="Times New Roman" w:eastAsia="Calibri" w:hAnsi="Times New Roman" w:cs="Times New Roman"/>
                <w:i/>
                <w:szCs w:val="24"/>
                <w:lang w:eastAsia="en-US"/>
              </w:rPr>
              <w:t>Jautājumi</w:t>
            </w:r>
          </w:p>
        </w:tc>
        <w:tc>
          <w:tcPr>
            <w:tcW w:w="3857" w:type="dxa"/>
            <w:shd w:val="clear" w:color="auto" w:fill="FFF2CC" w:themeFill="accent4" w:themeFillTint="33"/>
          </w:tcPr>
          <w:p w:rsidR="0029616F" w:rsidRPr="00810B79" w:rsidRDefault="004D6653" w:rsidP="00810B79">
            <w:pPr>
              <w:spacing w:before="120"/>
              <w:jc w:val="center"/>
              <w:rPr>
                <w:rFonts w:ascii="Times New Roman" w:eastAsia="Calibri" w:hAnsi="Times New Roman" w:cs="Times New Roman"/>
                <w:i/>
                <w:szCs w:val="24"/>
                <w:lang w:eastAsia="en-US"/>
              </w:rPr>
            </w:pPr>
            <w:r w:rsidRPr="00810B79">
              <w:rPr>
                <w:rFonts w:ascii="Times New Roman" w:eastAsia="Calibri" w:hAnsi="Times New Roman" w:cs="Times New Roman"/>
                <w:i/>
                <w:szCs w:val="24"/>
                <w:lang w:eastAsia="en-US"/>
              </w:rPr>
              <w:t>Atbildes</w:t>
            </w:r>
          </w:p>
        </w:tc>
      </w:tr>
      <w:tr w:rsidR="00AC01EB" w:rsidRPr="008B6DE7" w:rsidTr="006C13E6">
        <w:trPr>
          <w:trHeight w:val="1441"/>
          <w:jc w:val="center"/>
        </w:trPr>
        <w:tc>
          <w:tcPr>
            <w:tcW w:w="890" w:type="dxa"/>
            <w:shd w:val="clear" w:color="auto" w:fill="auto"/>
          </w:tcPr>
          <w:p w:rsidR="00AC01EB" w:rsidRDefault="00AC01EB" w:rsidP="00AC01EB">
            <w:pPr>
              <w:pStyle w:val="ListParagraph"/>
              <w:ind w:left="0" w:right="282"/>
              <w:jc w:val="center"/>
              <w:rPr>
                <w:rFonts w:ascii="Times New Roman" w:hAnsi="Times New Roman" w:cs="Times New Roman"/>
                <w:b/>
              </w:rPr>
            </w:pPr>
            <w:r w:rsidRPr="00DC5224">
              <w:rPr>
                <w:rFonts w:ascii="Times New Roman" w:hAnsi="Times New Roman" w:cs="Times New Roman"/>
                <w:b/>
              </w:rPr>
              <w:t>1.</w:t>
            </w:r>
          </w:p>
        </w:tc>
        <w:tc>
          <w:tcPr>
            <w:tcW w:w="5029" w:type="dxa"/>
            <w:shd w:val="clear" w:color="auto" w:fill="auto"/>
            <w:vAlign w:val="center"/>
          </w:tcPr>
          <w:p w:rsidR="00AC01EB" w:rsidRPr="00B72AAD" w:rsidRDefault="00AC01EB" w:rsidP="00AC01EB">
            <w:pPr>
              <w:rPr>
                <w:rFonts w:ascii="Times New Roman" w:hAnsi="Times New Roman" w:cs="Times New Roman"/>
              </w:rPr>
            </w:pPr>
            <w:bookmarkStart w:id="3" w:name="_Hlk15042029"/>
            <w:r w:rsidRPr="00B72AAD">
              <w:rPr>
                <w:rFonts w:ascii="Times New Roman" w:hAnsi="Times New Roman" w:cs="Times New Roman"/>
              </w:rPr>
              <w:t xml:space="preserve">Ņemot vērā to, ka: </w:t>
            </w:r>
          </w:p>
          <w:p w:rsidR="00AC01EB" w:rsidRPr="00B72AAD" w:rsidRDefault="00AC01EB" w:rsidP="00AC01EB">
            <w:pPr>
              <w:pStyle w:val="ListParagraph"/>
              <w:numPr>
                <w:ilvl w:val="0"/>
                <w:numId w:val="43"/>
              </w:numPr>
              <w:ind w:left="412"/>
              <w:rPr>
                <w:rFonts w:ascii="Times New Roman" w:hAnsi="Times New Roman" w:cs="Times New Roman"/>
              </w:rPr>
            </w:pPr>
            <w:r w:rsidRPr="00B72AAD">
              <w:rPr>
                <w:rFonts w:ascii="Times New Roman" w:hAnsi="Times New Roman" w:cs="Times New Roman"/>
              </w:rPr>
              <w:t xml:space="preserve">atklāta konkursa nolikumā izvirzītajās prasībās pie Pretendenta </w:t>
            </w:r>
            <w:proofErr w:type="spellStart"/>
            <w:r w:rsidRPr="00B72AAD">
              <w:rPr>
                <w:rFonts w:ascii="Times New Roman" w:hAnsi="Times New Roman" w:cs="Times New Roman"/>
              </w:rPr>
              <w:t>kvalifikacijas</w:t>
            </w:r>
            <w:proofErr w:type="spellEnd"/>
            <w:r w:rsidRPr="00B72AAD">
              <w:rPr>
                <w:rFonts w:ascii="Times New Roman" w:hAnsi="Times New Roman" w:cs="Times New Roman"/>
              </w:rPr>
              <w:t xml:space="preserve"> (Nolikuma p.6.2.6) ir norādīts, ka „Pretendenta vidējam gada neto finanšu apgrozījumam iepriekšējos 3 (trīs) gados (2016., 2017. un 2018. gadā) dzelzceļa infrastruktūras būvdarbu jomā jābūt vismaz EUR 15 000 000,00 (piecpadsmit miljoni </w:t>
            </w:r>
            <w:proofErr w:type="spellStart"/>
            <w:r w:rsidRPr="00B72AAD">
              <w:rPr>
                <w:rFonts w:ascii="Times New Roman" w:hAnsi="Times New Roman" w:cs="Times New Roman"/>
              </w:rPr>
              <w:t>euro</w:t>
            </w:r>
            <w:proofErr w:type="spellEnd"/>
            <w:r w:rsidRPr="00B72AAD">
              <w:rPr>
                <w:rFonts w:ascii="Times New Roman" w:hAnsi="Times New Roman" w:cs="Times New Roman"/>
              </w:rPr>
              <w:t xml:space="preserve">)”, </w:t>
            </w:r>
          </w:p>
          <w:p w:rsidR="00AC01EB" w:rsidRPr="00B72AAD" w:rsidRDefault="00AC01EB" w:rsidP="00AC01EB">
            <w:pPr>
              <w:pStyle w:val="ListParagraph"/>
              <w:numPr>
                <w:ilvl w:val="0"/>
                <w:numId w:val="43"/>
              </w:numPr>
              <w:ind w:left="412"/>
              <w:rPr>
                <w:rFonts w:ascii="Times New Roman" w:hAnsi="Times New Roman" w:cs="Times New Roman"/>
              </w:rPr>
            </w:pPr>
            <w:r w:rsidRPr="00B72AAD">
              <w:rPr>
                <w:rFonts w:ascii="Times New Roman" w:hAnsi="Times New Roman" w:cs="Times New Roman"/>
              </w:rPr>
              <w:t xml:space="preserve">Pretendentam ir nepieciešams iesniegt informāciju par tā finansiālajām iespējām un ir jāpierāda, ka viņa rīcībā būs nepieciešamie resursi ar apliecinājuma vai vienošanās palīdzību, </w:t>
            </w:r>
          </w:p>
          <w:p w:rsidR="00AC01EB" w:rsidRPr="00B72AAD" w:rsidRDefault="00AC01EB" w:rsidP="00AC01EB">
            <w:pPr>
              <w:ind w:firstLine="708"/>
              <w:rPr>
                <w:rFonts w:ascii="Times New Roman" w:hAnsi="Times New Roman" w:cs="Times New Roman"/>
              </w:rPr>
            </w:pPr>
            <w:r w:rsidRPr="00B72AAD">
              <w:rPr>
                <w:rFonts w:ascii="Times New Roman" w:hAnsi="Times New Roman" w:cs="Times New Roman"/>
              </w:rPr>
              <w:t xml:space="preserve">Mēs uzskatam p.6.2.6 izteikto prasību par minimālu apgrozījuma apmēru iepriekšējos trijos gados </w:t>
            </w:r>
            <w:r w:rsidRPr="00B72AAD">
              <w:rPr>
                <w:rFonts w:ascii="Times New Roman" w:hAnsi="Times New Roman" w:cs="Times New Roman"/>
                <w:u w:val="single"/>
              </w:rPr>
              <w:t>dzelzceļa infrastruktūras būvdarbu jomā</w:t>
            </w:r>
            <w:r w:rsidRPr="00B72AAD">
              <w:rPr>
                <w:rFonts w:ascii="Times New Roman" w:hAnsi="Times New Roman" w:cs="Times New Roman"/>
              </w:rPr>
              <w:t xml:space="preserve">  par nepamatotu, jo vidējais neto finanšu apgrozījums jau pats par sevi ir pierādījums uzņēmuma finansiālo iespēju pietiekamībai līguma izpildīšanai neatkarīgi no tā, vai šāds apgrozījums ir sasniegts dzelzceļa infrastruktūras būvdarbu jomā vai kādā citā jomā.</w:t>
            </w:r>
          </w:p>
          <w:p w:rsidR="00AC01EB" w:rsidRPr="00B72AAD" w:rsidRDefault="00AC01EB" w:rsidP="00AC01EB">
            <w:pPr>
              <w:ind w:firstLine="708"/>
              <w:rPr>
                <w:rFonts w:ascii="Times New Roman" w:hAnsi="Times New Roman" w:cs="Times New Roman"/>
              </w:rPr>
            </w:pPr>
            <w:r w:rsidRPr="00B72AAD">
              <w:rPr>
                <w:rFonts w:ascii="Times New Roman" w:hAnsi="Times New Roman" w:cs="Times New Roman"/>
              </w:rPr>
              <w:t>Sakarā ar to lūdzam grozīt atklāta konkursa nolikuma p.6.2.6 un izteikt to šādā redakcijā: „</w:t>
            </w:r>
            <w:r w:rsidRPr="00B72AAD">
              <w:rPr>
                <w:rFonts w:ascii="Times New Roman" w:hAnsi="Times New Roman" w:cs="Times New Roman"/>
                <w:i/>
              </w:rPr>
              <w:t xml:space="preserve">Pretendenta vidējam gada neto finanšu apgrozījumam iepriekšējos 3 (trīs) gados (2016., 2017. un 2018. gadā) jābūt vismaz EUR 15 000 000,00 (piecpadsmit miljoni </w:t>
            </w:r>
            <w:proofErr w:type="spellStart"/>
            <w:r w:rsidRPr="00B72AAD">
              <w:rPr>
                <w:rFonts w:ascii="Times New Roman" w:hAnsi="Times New Roman" w:cs="Times New Roman"/>
                <w:i/>
              </w:rPr>
              <w:t>euro</w:t>
            </w:r>
            <w:proofErr w:type="spellEnd"/>
            <w:r w:rsidRPr="00B72AAD">
              <w:rPr>
                <w:rFonts w:ascii="Times New Roman" w:hAnsi="Times New Roman" w:cs="Times New Roman"/>
                <w:i/>
              </w:rPr>
              <w:t xml:space="preserve">).  Ja pretendents ir piegādātāju apvienība, tad piegādātāju apvienības dalībnieku kopējam vidējam gada neto finanšu apgrozījumam iepriekšējos 3 (trīs) gados (2016., 2017. un 2018.gadā) jābūt vismaz EUR 15 000 000,00 </w:t>
            </w:r>
            <w:r w:rsidRPr="00B72AAD">
              <w:rPr>
                <w:rFonts w:ascii="Times New Roman" w:hAnsi="Times New Roman" w:cs="Times New Roman"/>
                <w:i/>
              </w:rPr>
              <w:lastRenderedPageBreak/>
              <w:t xml:space="preserve">(piecpadsmit miljoni </w:t>
            </w:r>
            <w:proofErr w:type="spellStart"/>
            <w:r w:rsidRPr="00B72AAD">
              <w:rPr>
                <w:rFonts w:ascii="Times New Roman" w:hAnsi="Times New Roman" w:cs="Times New Roman"/>
                <w:i/>
              </w:rPr>
              <w:t>euro</w:t>
            </w:r>
            <w:proofErr w:type="spellEnd"/>
            <w:r w:rsidRPr="00B72AAD">
              <w:rPr>
                <w:rFonts w:ascii="Times New Roman" w:hAnsi="Times New Roman" w:cs="Times New Roman"/>
                <w:i/>
              </w:rPr>
              <w:t xml:space="preserve">).  Ja pretendents balstās uz trešo personu iespējām, tad pretendenta un trešo personu kopējam vidējam gada neto finanšu apgrozījumam  iepriekšējos 3 (trīs) gados (2016., 2017. un 2018.gadā)  jābūt vismaz 15 000 000,00 EUR (piecpadsmit miljoni </w:t>
            </w:r>
            <w:proofErr w:type="spellStart"/>
            <w:r w:rsidRPr="00B72AAD">
              <w:rPr>
                <w:rFonts w:ascii="Times New Roman" w:hAnsi="Times New Roman" w:cs="Times New Roman"/>
                <w:i/>
              </w:rPr>
              <w:t>euro</w:t>
            </w:r>
            <w:proofErr w:type="spellEnd"/>
            <w:r w:rsidRPr="00B72AAD">
              <w:rPr>
                <w:rFonts w:ascii="Times New Roman" w:hAnsi="Times New Roman" w:cs="Times New Roman"/>
                <w:i/>
              </w:rPr>
              <w:t>).  Ja pretendents (arī norādītā persona/ vai apvienības dalībnieks) ir dibināts vēlāk, tad finanšu apgrozījumam jāatbilst iepriekš minētajai prasībai attiecīgi īsākajā laika periodā.</w:t>
            </w:r>
            <w:r w:rsidRPr="00B72AAD">
              <w:rPr>
                <w:rFonts w:ascii="Times New Roman" w:hAnsi="Times New Roman" w:cs="Times New Roman"/>
              </w:rPr>
              <w:t>”.</w:t>
            </w:r>
          </w:p>
          <w:p w:rsidR="00AC01EB" w:rsidRPr="00B72AAD" w:rsidRDefault="00AC01EB" w:rsidP="00AC01EB">
            <w:pPr>
              <w:widowControl w:val="0"/>
              <w:rPr>
                <w:rFonts w:ascii="Times New Roman" w:hAnsi="Times New Roman" w:cs="Times New Roman"/>
                <w:bCs/>
              </w:rPr>
            </w:pPr>
            <w:r w:rsidRPr="00B72AAD">
              <w:rPr>
                <w:rFonts w:ascii="Times New Roman" w:hAnsi="Times New Roman" w:cs="Times New Roman"/>
              </w:rPr>
              <w:t xml:space="preserve">Gadījumā, ja VAS „Latvijas dzelzceļš” Iepirkumu birojs atteiksies grozīt minēto Nolikuma punktu, lūdzam pamatot nepieciešamību tam, kāpēc Pretendenta vidējā gada neto finanšu apgrozījumam iepriekšējos trijos gados </w:t>
            </w:r>
            <w:proofErr w:type="spellStart"/>
            <w:r w:rsidRPr="00B72AAD">
              <w:rPr>
                <w:rFonts w:ascii="Times New Roman" w:hAnsi="Times New Roman" w:cs="Times New Roman"/>
              </w:rPr>
              <w:t>jabūt</w:t>
            </w:r>
            <w:proofErr w:type="spellEnd"/>
            <w:r w:rsidRPr="00B72AAD">
              <w:rPr>
                <w:rFonts w:ascii="Times New Roman" w:hAnsi="Times New Roman" w:cs="Times New Roman"/>
              </w:rPr>
              <w:t xml:space="preserve"> tieši dzelzceļa infrastruktūras būvdarbu jomā.</w:t>
            </w:r>
            <w:bookmarkEnd w:id="3"/>
          </w:p>
        </w:tc>
        <w:tc>
          <w:tcPr>
            <w:tcW w:w="3857" w:type="dxa"/>
            <w:shd w:val="clear" w:color="auto" w:fill="auto"/>
          </w:tcPr>
          <w:p w:rsidR="00415931" w:rsidRDefault="0008750A" w:rsidP="00DC5224">
            <w:pPr>
              <w:overflowPunct w:val="0"/>
              <w:autoSpaceDE w:val="0"/>
              <w:autoSpaceDN w:val="0"/>
              <w:adjustRightInd w:val="0"/>
              <w:spacing w:after="120"/>
              <w:rPr>
                <w:rFonts w:ascii="Times New Roman" w:eastAsia="Calibri" w:hAnsi="Times New Roman" w:cs="Times New Roman"/>
                <w:lang w:eastAsia="en-US"/>
              </w:rPr>
            </w:pPr>
            <w:r w:rsidRPr="00DC5224">
              <w:rPr>
                <w:rFonts w:ascii="Times New Roman" w:eastAsia="Calibri" w:hAnsi="Times New Roman" w:cs="Times New Roman"/>
                <w:lang w:eastAsia="en-US"/>
              </w:rPr>
              <w:lastRenderedPageBreak/>
              <w:t xml:space="preserve">Saskaņā ar SPSIL </w:t>
            </w:r>
            <w:r w:rsidR="00DC5224" w:rsidRPr="00DC5224">
              <w:rPr>
                <w:rFonts w:ascii="Times New Roman" w:eastAsia="Calibri" w:hAnsi="Times New Roman" w:cs="Times New Roman"/>
                <w:lang w:eastAsia="en-US"/>
              </w:rPr>
              <w:t xml:space="preserve">51.panta pirmās daļas 1.punktu Sabiedrisko pakalpojumu sniedzējs var noteikt prasības attiecībā uz piegādātāja saimnieciskajām un finansiālajām spējām, kas nepieciešamas iepirkuma līguma izpildei. Šādas prasības var attiekties uz piegādātāja gada minimālo finanšu apgrozījumu, </w:t>
            </w:r>
            <w:r w:rsidR="00DC5224" w:rsidRPr="00F77E3C">
              <w:rPr>
                <w:rFonts w:ascii="Times New Roman" w:eastAsia="Calibri" w:hAnsi="Times New Roman" w:cs="Times New Roman"/>
                <w:u w:val="single"/>
                <w:lang w:eastAsia="en-US"/>
              </w:rPr>
              <w:t>tai skaitā konkrētā iepirkuma līguma priekšmeta jomā.</w:t>
            </w:r>
          </w:p>
          <w:p w:rsidR="00415931" w:rsidRDefault="00415931" w:rsidP="00AC01EB">
            <w:pPr>
              <w:overflowPunct w:val="0"/>
              <w:autoSpaceDE w:val="0"/>
              <w:autoSpaceDN w:val="0"/>
              <w:adjustRightInd w:val="0"/>
              <w:spacing w:after="120"/>
              <w:rPr>
                <w:rFonts w:ascii="Times New Roman" w:eastAsia="Calibri" w:hAnsi="Times New Roman" w:cs="Times New Roman"/>
                <w:lang w:eastAsia="en-US"/>
              </w:rPr>
            </w:pPr>
          </w:p>
          <w:p w:rsidR="00415931" w:rsidRDefault="00415931" w:rsidP="00AC01EB">
            <w:pPr>
              <w:overflowPunct w:val="0"/>
              <w:autoSpaceDE w:val="0"/>
              <w:autoSpaceDN w:val="0"/>
              <w:adjustRightInd w:val="0"/>
              <w:spacing w:after="120"/>
              <w:rPr>
                <w:rFonts w:ascii="Times New Roman" w:eastAsia="Calibri" w:hAnsi="Times New Roman" w:cs="Times New Roman"/>
                <w:lang w:eastAsia="en-US"/>
              </w:rPr>
            </w:pPr>
          </w:p>
        </w:tc>
      </w:tr>
      <w:tr w:rsidR="005D3681" w:rsidRPr="008B6DE7" w:rsidTr="006C13E6">
        <w:trPr>
          <w:trHeight w:val="1441"/>
          <w:jc w:val="center"/>
        </w:trPr>
        <w:tc>
          <w:tcPr>
            <w:tcW w:w="890" w:type="dxa"/>
            <w:shd w:val="clear" w:color="auto" w:fill="auto"/>
          </w:tcPr>
          <w:p w:rsidR="005D3681" w:rsidRPr="008B6DE7" w:rsidRDefault="00AC01EB" w:rsidP="00810B79">
            <w:pPr>
              <w:pStyle w:val="ListParagraph"/>
              <w:spacing w:before="120"/>
              <w:ind w:left="0" w:right="282"/>
              <w:contextualSpacing w:val="0"/>
              <w:jc w:val="center"/>
              <w:rPr>
                <w:rFonts w:ascii="Times New Roman" w:hAnsi="Times New Roman" w:cs="Times New Roman"/>
                <w:b/>
                <w:szCs w:val="24"/>
              </w:rPr>
            </w:pPr>
            <w:bookmarkStart w:id="4" w:name="_Hlk14779763"/>
            <w:r>
              <w:rPr>
                <w:rFonts w:ascii="Times New Roman" w:hAnsi="Times New Roman" w:cs="Times New Roman"/>
                <w:b/>
                <w:szCs w:val="24"/>
              </w:rPr>
              <w:t>2</w:t>
            </w:r>
            <w:r w:rsidR="0001130A" w:rsidRPr="008B6DE7">
              <w:rPr>
                <w:rFonts w:ascii="Times New Roman" w:hAnsi="Times New Roman" w:cs="Times New Roman"/>
                <w:b/>
                <w:szCs w:val="24"/>
              </w:rPr>
              <w:t>.</w:t>
            </w:r>
          </w:p>
          <w:p w:rsidR="00C864F5" w:rsidRPr="00810B79" w:rsidRDefault="00C864F5" w:rsidP="00810B79">
            <w:pPr>
              <w:pStyle w:val="ListParagraph"/>
              <w:spacing w:before="120"/>
              <w:ind w:left="0" w:right="282"/>
              <w:contextualSpacing w:val="0"/>
              <w:jc w:val="center"/>
              <w:rPr>
                <w:rFonts w:ascii="Times New Roman" w:hAnsi="Times New Roman" w:cs="Times New Roman"/>
                <w:b/>
                <w:szCs w:val="24"/>
              </w:rPr>
            </w:pPr>
          </w:p>
        </w:tc>
        <w:tc>
          <w:tcPr>
            <w:tcW w:w="5029" w:type="dxa"/>
            <w:shd w:val="clear" w:color="auto" w:fill="auto"/>
            <w:vAlign w:val="center"/>
          </w:tcPr>
          <w:p w:rsidR="00E0059C" w:rsidRPr="00E0059C" w:rsidRDefault="00E0059C" w:rsidP="00E0059C">
            <w:pPr>
              <w:overflowPunct w:val="0"/>
              <w:autoSpaceDE w:val="0"/>
              <w:autoSpaceDN w:val="0"/>
              <w:adjustRightInd w:val="0"/>
              <w:spacing w:before="120"/>
              <w:rPr>
                <w:rFonts w:ascii="Times New Roman" w:eastAsia="Calibri" w:hAnsi="Times New Roman" w:cs="Times New Roman"/>
                <w:szCs w:val="24"/>
                <w:lang w:eastAsia="en-US"/>
              </w:rPr>
            </w:pPr>
            <w:r w:rsidRPr="00E0059C">
              <w:rPr>
                <w:rFonts w:ascii="Times New Roman" w:eastAsia="Calibri" w:hAnsi="Times New Roman" w:cs="Times New Roman"/>
                <w:szCs w:val="24"/>
                <w:lang w:eastAsia="en-US"/>
              </w:rPr>
              <w:t xml:space="preserve">Nolikuma 6.2.18.punktā un speciālistu CV formā noteikts iesniegt speciālistu kvalifikāciju apliecinošus dokumentus, tai skaitā izglītības dokumentu un sertifikātu kopijas. Informējam, ka kopš 2014.gada 7.oktobra </w:t>
            </w:r>
            <w:proofErr w:type="spellStart"/>
            <w:r w:rsidRPr="00E0059C">
              <w:rPr>
                <w:rFonts w:ascii="Times New Roman" w:eastAsia="Calibri" w:hAnsi="Times New Roman" w:cs="Times New Roman"/>
                <w:szCs w:val="24"/>
                <w:lang w:eastAsia="en-US"/>
              </w:rPr>
              <w:t>būvspeciālistiem</w:t>
            </w:r>
            <w:proofErr w:type="spellEnd"/>
            <w:r w:rsidRPr="00E0059C">
              <w:rPr>
                <w:rFonts w:ascii="Times New Roman" w:eastAsia="Calibri" w:hAnsi="Times New Roman" w:cs="Times New Roman"/>
                <w:szCs w:val="24"/>
                <w:lang w:eastAsia="en-US"/>
              </w:rPr>
              <w:t xml:space="preserve"> vairs netiek izsniegti sertifikāti papīra formātā, tā vietā </w:t>
            </w:r>
            <w:proofErr w:type="spellStart"/>
            <w:r w:rsidRPr="00E0059C">
              <w:rPr>
                <w:rFonts w:ascii="Times New Roman" w:eastAsia="Calibri" w:hAnsi="Times New Roman" w:cs="Times New Roman"/>
                <w:szCs w:val="24"/>
                <w:lang w:eastAsia="en-US"/>
              </w:rPr>
              <w:t>būvspeciālists</w:t>
            </w:r>
            <w:proofErr w:type="spellEnd"/>
            <w:r w:rsidRPr="00E0059C">
              <w:rPr>
                <w:rFonts w:ascii="Times New Roman" w:eastAsia="Calibri" w:hAnsi="Times New Roman" w:cs="Times New Roman"/>
                <w:szCs w:val="24"/>
                <w:lang w:eastAsia="en-US"/>
              </w:rPr>
              <w:t xml:space="preserve"> saņem lēmumu par sertifikāta iegūšanu. Tāpat </w:t>
            </w:r>
            <w:proofErr w:type="spellStart"/>
            <w:r w:rsidRPr="00E0059C">
              <w:rPr>
                <w:rFonts w:ascii="Times New Roman" w:eastAsia="Calibri" w:hAnsi="Times New Roman" w:cs="Times New Roman"/>
                <w:szCs w:val="24"/>
                <w:lang w:eastAsia="en-US"/>
              </w:rPr>
              <w:t>būvspeciālista</w:t>
            </w:r>
            <w:proofErr w:type="spellEnd"/>
            <w:r w:rsidRPr="00E0059C">
              <w:rPr>
                <w:rFonts w:ascii="Times New Roman" w:eastAsia="Calibri" w:hAnsi="Times New Roman" w:cs="Times New Roman"/>
                <w:szCs w:val="24"/>
                <w:lang w:eastAsia="en-US"/>
              </w:rPr>
              <w:t xml:space="preserve"> sertifikāts vai lēmums apliecina tikai to, ka speciālists kādreiz ir ieguvis patstāvīgas prakses tiesības, taču tas neapliecina to, ka </w:t>
            </w:r>
            <w:proofErr w:type="spellStart"/>
            <w:r w:rsidRPr="00E0059C">
              <w:rPr>
                <w:rFonts w:ascii="Times New Roman" w:eastAsia="Calibri" w:hAnsi="Times New Roman" w:cs="Times New Roman"/>
                <w:szCs w:val="24"/>
                <w:lang w:eastAsia="en-US"/>
              </w:rPr>
              <w:t>būvspeciālistam</w:t>
            </w:r>
            <w:proofErr w:type="spellEnd"/>
            <w:r w:rsidRPr="00E0059C">
              <w:rPr>
                <w:rFonts w:ascii="Times New Roman" w:eastAsia="Calibri" w:hAnsi="Times New Roman" w:cs="Times New Roman"/>
                <w:szCs w:val="24"/>
                <w:lang w:eastAsia="en-US"/>
              </w:rPr>
              <w:t xml:space="preserve"> vēl joprojām ir patstāvīgas prakses tiesības, viņa sertifikāts nav apturēts, anulēts vai kļuvis nederīgs. Tāpat arī prasība pievienot piedāvājumam izglītības dokumentu, mūsuprāt ir nelietderīga, jo speciālists nevar iegūt sertifikātu bez atbilstošas izglītības (izņemot projekta vadītāju, kuram netiek prasīts sertifikāts, bet tikai augstākā izglītība). Vēršam uzmanību, ka  informāciju par </w:t>
            </w:r>
            <w:proofErr w:type="spellStart"/>
            <w:r w:rsidRPr="00E0059C">
              <w:rPr>
                <w:rFonts w:ascii="Times New Roman" w:eastAsia="Calibri" w:hAnsi="Times New Roman" w:cs="Times New Roman"/>
                <w:szCs w:val="24"/>
                <w:lang w:eastAsia="en-US"/>
              </w:rPr>
              <w:t>būvspeciālista</w:t>
            </w:r>
            <w:proofErr w:type="spellEnd"/>
            <w:r w:rsidRPr="00E0059C">
              <w:rPr>
                <w:rFonts w:ascii="Times New Roman" w:eastAsia="Calibri" w:hAnsi="Times New Roman" w:cs="Times New Roman"/>
                <w:szCs w:val="24"/>
                <w:lang w:eastAsia="en-US"/>
              </w:rPr>
              <w:t xml:space="preserve"> izglītību un sertifikātu ir prasīts norādīt arī CV formā, kas ir Nolikuma 4.pielikuma 11.veidlapa.</w:t>
            </w:r>
          </w:p>
          <w:p w:rsidR="00E0059C" w:rsidRPr="00E0059C" w:rsidRDefault="00E0059C" w:rsidP="00E0059C">
            <w:pPr>
              <w:overflowPunct w:val="0"/>
              <w:autoSpaceDE w:val="0"/>
              <w:autoSpaceDN w:val="0"/>
              <w:adjustRightInd w:val="0"/>
              <w:spacing w:before="120"/>
              <w:ind w:firstLine="349"/>
              <w:rPr>
                <w:rFonts w:ascii="Times New Roman" w:eastAsia="Calibri" w:hAnsi="Times New Roman" w:cs="Times New Roman"/>
                <w:szCs w:val="24"/>
                <w:lang w:eastAsia="en-US"/>
              </w:rPr>
            </w:pPr>
            <w:r w:rsidRPr="00E0059C">
              <w:rPr>
                <w:rFonts w:ascii="Times New Roman" w:eastAsia="Calibri" w:hAnsi="Times New Roman" w:cs="Times New Roman"/>
                <w:szCs w:val="24"/>
                <w:lang w:eastAsia="en-US"/>
              </w:rPr>
              <w:t xml:space="preserve">Ņemot vērā iepriekš minēto, un dabas resursu taupīšanas nolūkos, lūdzu apstiprināt, ka par LR Būvkomersantu reģistrā reģistrētājiem </w:t>
            </w:r>
            <w:proofErr w:type="spellStart"/>
            <w:r w:rsidRPr="00E0059C">
              <w:rPr>
                <w:rFonts w:ascii="Times New Roman" w:eastAsia="Calibri" w:hAnsi="Times New Roman" w:cs="Times New Roman"/>
                <w:szCs w:val="24"/>
                <w:lang w:eastAsia="en-US"/>
              </w:rPr>
              <w:t>būvspeciālistiem</w:t>
            </w:r>
            <w:proofErr w:type="spellEnd"/>
            <w:r w:rsidRPr="00E0059C">
              <w:rPr>
                <w:rFonts w:ascii="Times New Roman" w:eastAsia="Calibri" w:hAnsi="Times New Roman" w:cs="Times New Roman"/>
                <w:szCs w:val="24"/>
                <w:lang w:eastAsia="en-US"/>
              </w:rPr>
              <w:t xml:space="preserve"> Pasūtītājs informāciju pārbaudīs publiskajā datu bāzē un Pretendentam nav jāiesniedz sertifikātu kopijas un izglītības dokumenti. </w:t>
            </w:r>
          </w:p>
          <w:p w:rsidR="005D3681" w:rsidRPr="00E0059C" w:rsidRDefault="005D3681" w:rsidP="00E0059C">
            <w:pPr>
              <w:overflowPunct w:val="0"/>
              <w:autoSpaceDE w:val="0"/>
              <w:autoSpaceDN w:val="0"/>
              <w:adjustRightInd w:val="0"/>
              <w:spacing w:before="120"/>
              <w:rPr>
                <w:rFonts w:ascii="Times New Roman" w:eastAsia="Calibri" w:hAnsi="Times New Roman" w:cs="Times New Roman"/>
                <w:szCs w:val="24"/>
                <w:lang w:eastAsia="en-US"/>
              </w:rPr>
            </w:pPr>
          </w:p>
        </w:tc>
        <w:tc>
          <w:tcPr>
            <w:tcW w:w="3857" w:type="dxa"/>
            <w:shd w:val="clear" w:color="auto" w:fill="auto"/>
          </w:tcPr>
          <w:p w:rsidR="00415931" w:rsidRPr="00415931" w:rsidRDefault="00415931" w:rsidP="00415931">
            <w:pPr>
              <w:rPr>
                <w:rFonts w:ascii="Times New Roman" w:eastAsia="Calibri" w:hAnsi="Times New Roman" w:cs="Times New Roman"/>
                <w:szCs w:val="24"/>
                <w:lang w:eastAsia="en-US"/>
              </w:rPr>
            </w:pPr>
            <w:r w:rsidRPr="00415931">
              <w:rPr>
                <w:rFonts w:ascii="Times New Roman" w:eastAsia="Calibri" w:hAnsi="Times New Roman" w:cs="Times New Roman"/>
                <w:szCs w:val="24"/>
                <w:lang w:eastAsia="en-US"/>
              </w:rPr>
              <w:t>Par LR Būvkomersantu reģistrā reģistrētājiem speciālistiem Pasūtītājs informāciju pārbaudīs publiskajā datu bāzē un Pretendents var neiesniegt speciālistu kvalifikāciju apliecinošus dokumentus, tai skaitā sertifikātu kopijas.</w:t>
            </w:r>
          </w:p>
          <w:p w:rsidR="00F12D47" w:rsidRPr="0079365B" w:rsidRDefault="00F12D47" w:rsidP="00810B79">
            <w:pPr>
              <w:overflowPunct w:val="0"/>
              <w:autoSpaceDE w:val="0"/>
              <w:autoSpaceDN w:val="0"/>
              <w:adjustRightInd w:val="0"/>
              <w:spacing w:before="120"/>
              <w:rPr>
                <w:rFonts w:ascii="Times New Roman" w:eastAsia="Calibri" w:hAnsi="Times New Roman" w:cs="Times New Roman"/>
                <w:szCs w:val="24"/>
                <w:lang w:eastAsia="en-US"/>
              </w:rPr>
            </w:pPr>
          </w:p>
          <w:p w:rsidR="000F595D" w:rsidRPr="0079365B" w:rsidRDefault="000F595D" w:rsidP="00810B79">
            <w:pPr>
              <w:overflowPunct w:val="0"/>
              <w:autoSpaceDE w:val="0"/>
              <w:autoSpaceDN w:val="0"/>
              <w:adjustRightInd w:val="0"/>
              <w:spacing w:before="120"/>
              <w:rPr>
                <w:rFonts w:ascii="Times New Roman" w:eastAsia="Calibri" w:hAnsi="Times New Roman" w:cs="Times New Roman"/>
                <w:szCs w:val="24"/>
                <w:lang w:eastAsia="en-US"/>
              </w:rPr>
            </w:pPr>
          </w:p>
        </w:tc>
      </w:tr>
      <w:tr w:rsidR="00F77E3C" w:rsidRPr="008B6DE7" w:rsidTr="00FA7E4E">
        <w:trPr>
          <w:trHeight w:val="1441"/>
          <w:jc w:val="center"/>
        </w:trPr>
        <w:tc>
          <w:tcPr>
            <w:tcW w:w="890" w:type="dxa"/>
            <w:shd w:val="clear" w:color="auto" w:fill="auto"/>
          </w:tcPr>
          <w:p w:rsidR="00F77E3C" w:rsidRDefault="00F77E3C" w:rsidP="00F77E3C">
            <w:pPr>
              <w:pStyle w:val="ListParagraph"/>
              <w:spacing w:before="120"/>
              <w:ind w:left="0" w:right="282"/>
              <w:contextualSpacing w:val="0"/>
              <w:jc w:val="center"/>
              <w:rPr>
                <w:rFonts w:ascii="Times New Roman" w:hAnsi="Times New Roman" w:cs="Times New Roman"/>
                <w:b/>
                <w:szCs w:val="24"/>
              </w:rPr>
            </w:pPr>
            <w:r>
              <w:rPr>
                <w:rFonts w:ascii="Times New Roman" w:hAnsi="Times New Roman" w:cs="Times New Roman"/>
                <w:b/>
                <w:szCs w:val="24"/>
              </w:rPr>
              <w:t>3.</w:t>
            </w:r>
          </w:p>
        </w:tc>
        <w:tc>
          <w:tcPr>
            <w:tcW w:w="5029" w:type="dxa"/>
            <w:shd w:val="clear" w:color="auto" w:fill="auto"/>
          </w:tcPr>
          <w:p w:rsidR="00F77E3C" w:rsidRPr="00567ED3" w:rsidRDefault="00F77E3C" w:rsidP="00F77E3C">
            <w:pPr>
              <w:spacing w:after="120"/>
              <w:rPr>
                <w:rFonts w:ascii="Times New Roman" w:hAnsi="Times New Roman" w:cs="Times New Roman"/>
                <w:color w:val="000000"/>
                <w:szCs w:val="24"/>
              </w:rPr>
            </w:pPr>
            <w:r w:rsidRPr="00567ED3">
              <w:rPr>
                <w:rFonts w:ascii="Times New Roman" w:hAnsi="Times New Roman" w:cs="Times New Roman"/>
                <w:color w:val="000000"/>
                <w:szCs w:val="24"/>
              </w:rPr>
              <w:t xml:space="preserve">Lūdzam apstiprināt, ka punktos 4.4 un 4.5 .SĒJUMS Tehniskās drošības sistēma, </w:t>
            </w:r>
            <w:proofErr w:type="spellStart"/>
            <w:r w:rsidRPr="00567ED3">
              <w:rPr>
                <w:rFonts w:ascii="Times New Roman" w:hAnsi="Times New Roman" w:cs="Times New Roman"/>
                <w:color w:val="000000"/>
                <w:szCs w:val="24"/>
              </w:rPr>
              <w:t>Pasutitajs</w:t>
            </w:r>
            <w:proofErr w:type="spellEnd"/>
            <w:r w:rsidRPr="00567ED3">
              <w:rPr>
                <w:rFonts w:ascii="Times New Roman" w:hAnsi="Times New Roman" w:cs="Times New Roman"/>
                <w:color w:val="000000"/>
                <w:szCs w:val="24"/>
              </w:rPr>
              <w:t xml:space="preserve"> ir </w:t>
            </w:r>
            <w:proofErr w:type="spellStart"/>
            <w:r w:rsidRPr="00567ED3">
              <w:rPr>
                <w:rFonts w:ascii="Times New Roman" w:hAnsi="Times New Roman" w:cs="Times New Roman"/>
                <w:color w:val="000000"/>
                <w:szCs w:val="24"/>
              </w:rPr>
              <w:t>definejs</w:t>
            </w:r>
            <w:proofErr w:type="spellEnd"/>
            <w:r w:rsidRPr="00567ED3">
              <w:rPr>
                <w:rFonts w:ascii="Times New Roman" w:hAnsi="Times New Roman" w:cs="Times New Roman"/>
                <w:color w:val="000000"/>
                <w:szCs w:val="24"/>
              </w:rPr>
              <w:t xml:space="preserve"> Plašas dinamiskais diapazonu (WDR) </w:t>
            </w:r>
            <w:proofErr w:type="spellStart"/>
            <w:r w:rsidRPr="00567ED3">
              <w:rPr>
                <w:rFonts w:ascii="Times New Roman" w:hAnsi="Times New Roman" w:cs="Times New Roman"/>
                <w:color w:val="000000"/>
                <w:szCs w:val="24"/>
              </w:rPr>
              <w:t>videokameram</w:t>
            </w:r>
            <w:proofErr w:type="spellEnd"/>
            <w:r w:rsidRPr="00567ED3">
              <w:rPr>
                <w:rFonts w:ascii="Times New Roman" w:hAnsi="Times New Roman" w:cs="Times New Roman"/>
                <w:color w:val="000000"/>
                <w:szCs w:val="24"/>
              </w:rPr>
              <w:t xml:space="preserve"> ka </w:t>
            </w:r>
            <w:proofErr w:type="spellStart"/>
            <w:r w:rsidRPr="00567ED3">
              <w:rPr>
                <w:rFonts w:ascii="Times New Roman" w:hAnsi="Times New Roman" w:cs="Times New Roman"/>
                <w:color w:val="000000"/>
                <w:szCs w:val="24"/>
              </w:rPr>
              <w:t>lielaku</w:t>
            </w:r>
            <w:proofErr w:type="spellEnd"/>
            <w:r w:rsidRPr="00567ED3">
              <w:rPr>
                <w:rFonts w:ascii="Times New Roman" w:hAnsi="Times New Roman" w:cs="Times New Roman"/>
                <w:color w:val="000000"/>
                <w:szCs w:val="24"/>
              </w:rPr>
              <w:t xml:space="preserve"> vai </w:t>
            </w:r>
            <w:proofErr w:type="spellStart"/>
            <w:r w:rsidRPr="00567ED3">
              <w:rPr>
                <w:rFonts w:ascii="Times New Roman" w:hAnsi="Times New Roman" w:cs="Times New Roman"/>
                <w:color w:val="000000"/>
                <w:szCs w:val="24"/>
              </w:rPr>
              <w:t>vienadu</w:t>
            </w:r>
            <w:proofErr w:type="spellEnd"/>
            <w:r w:rsidRPr="00567ED3">
              <w:rPr>
                <w:rFonts w:ascii="Times New Roman" w:hAnsi="Times New Roman" w:cs="Times New Roman"/>
                <w:color w:val="000000"/>
                <w:szCs w:val="24"/>
              </w:rPr>
              <w:t xml:space="preserve"> ar 120dB</w:t>
            </w:r>
          </w:p>
        </w:tc>
        <w:tc>
          <w:tcPr>
            <w:tcW w:w="3857" w:type="dxa"/>
            <w:shd w:val="clear" w:color="auto" w:fill="auto"/>
          </w:tcPr>
          <w:p w:rsidR="00F77E3C" w:rsidRPr="00567ED3" w:rsidRDefault="00F77E3C" w:rsidP="00F77E3C">
            <w:pPr>
              <w:overflowPunct w:val="0"/>
              <w:autoSpaceDE w:val="0"/>
              <w:autoSpaceDN w:val="0"/>
              <w:adjustRightInd w:val="0"/>
              <w:spacing w:after="120"/>
              <w:rPr>
                <w:rFonts w:ascii="Times New Roman" w:eastAsia="Calibri" w:hAnsi="Times New Roman" w:cs="Times New Roman"/>
                <w:szCs w:val="24"/>
                <w:lang w:eastAsia="en-US"/>
              </w:rPr>
            </w:pPr>
            <w:r w:rsidRPr="003E5505">
              <w:rPr>
                <w:rFonts w:ascii="Times New Roman" w:hAnsi="Times New Roman" w:cs="Times New Roman"/>
                <w:color w:val="000000"/>
                <w:szCs w:val="24"/>
              </w:rPr>
              <w:t>Plašs dinamiskais diapazons (WDR) ir lielāks vai vienāds ar 120dB.</w:t>
            </w:r>
          </w:p>
          <w:p w:rsidR="00F77E3C" w:rsidRPr="00567ED3" w:rsidRDefault="00F77E3C" w:rsidP="00F77E3C">
            <w:pPr>
              <w:overflowPunct w:val="0"/>
              <w:autoSpaceDE w:val="0"/>
              <w:autoSpaceDN w:val="0"/>
              <w:adjustRightInd w:val="0"/>
              <w:spacing w:after="120"/>
              <w:rPr>
                <w:rFonts w:ascii="Times New Roman" w:eastAsia="Calibri" w:hAnsi="Times New Roman" w:cs="Times New Roman"/>
                <w:szCs w:val="24"/>
                <w:lang w:eastAsia="en-US"/>
              </w:rPr>
            </w:pPr>
          </w:p>
        </w:tc>
      </w:tr>
      <w:tr w:rsidR="00F77E3C" w:rsidRPr="008B6DE7" w:rsidTr="00FA7E4E">
        <w:trPr>
          <w:trHeight w:val="1441"/>
          <w:jc w:val="center"/>
        </w:trPr>
        <w:tc>
          <w:tcPr>
            <w:tcW w:w="890" w:type="dxa"/>
            <w:shd w:val="clear" w:color="auto" w:fill="auto"/>
          </w:tcPr>
          <w:p w:rsidR="00F77E3C" w:rsidRDefault="00F77E3C" w:rsidP="00F77E3C">
            <w:pPr>
              <w:pStyle w:val="ListParagraph"/>
              <w:spacing w:before="120"/>
              <w:ind w:left="0" w:right="282"/>
              <w:contextualSpacing w:val="0"/>
              <w:jc w:val="center"/>
              <w:rPr>
                <w:rFonts w:ascii="Times New Roman" w:hAnsi="Times New Roman" w:cs="Times New Roman"/>
                <w:b/>
                <w:szCs w:val="24"/>
              </w:rPr>
            </w:pPr>
            <w:r>
              <w:rPr>
                <w:rFonts w:ascii="Times New Roman" w:hAnsi="Times New Roman" w:cs="Times New Roman"/>
                <w:b/>
                <w:szCs w:val="24"/>
              </w:rPr>
              <w:lastRenderedPageBreak/>
              <w:t>4.</w:t>
            </w:r>
          </w:p>
        </w:tc>
        <w:tc>
          <w:tcPr>
            <w:tcW w:w="5029" w:type="dxa"/>
            <w:shd w:val="clear" w:color="auto" w:fill="auto"/>
          </w:tcPr>
          <w:p w:rsidR="00F77E3C" w:rsidRPr="008B0BE9" w:rsidRDefault="00F77E3C" w:rsidP="00F77E3C">
            <w:pPr>
              <w:spacing w:after="120"/>
              <w:rPr>
                <w:rFonts w:ascii="Times New Roman" w:hAnsi="Times New Roman" w:cs="Times New Roman"/>
                <w:color w:val="000000"/>
                <w:szCs w:val="24"/>
              </w:rPr>
            </w:pPr>
            <w:r w:rsidRPr="00567ED3">
              <w:rPr>
                <w:rFonts w:ascii="Times New Roman" w:hAnsi="Times New Roman" w:cs="Times New Roman"/>
                <w:color w:val="000000"/>
                <w:szCs w:val="24"/>
              </w:rPr>
              <w:t>Lūdzam apstiprināt, ja Norādītas personas darba apjoms ir mazāks par 10 %, tad informāciju par tiem nav jāraksta 4. pielikuma 7. veidlapas formā "Pretendenta piesaistīto apakšuzņēmēju saraksts".</w:t>
            </w:r>
          </w:p>
        </w:tc>
        <w:tc>
          <w:tcPr>
            <w:tcW w:w="3857" w:type="dxa"/>
            <w:shd w:val="clear" w:color="auto" w:fill="auto"/>
          </w:tcPr>
          <w:p w:rsidR="00F77E3C" w:rsidRPr="009B1E83" w:rsidRDefault="00F77E3C" w:rsidP="00F77E3C">
            <w:pPr>
              <w:overflowPunct w:val="0"/>
              <w:autoSpaceDE w:val="0"/>
              <w:autoSpaceDN w:val="0"/>
              <w:adjustRightInd w:val="0"/>
              <w:spacing w:after="120"/>
              <w:rPr>
                <w:rFonts w:ascii="Times New Roman" w:hAnsi="Times New Roman" w:cs="Times New Roman"/>
                <w:szCs w:val="24"/>
              </w:rPr>
            </w:pPr>
            <w:r w:rsidRPr="009B1E83">
              <w:rPr>
                <w:rFonts w:ascii="Times New Roman" w:hAnsi="Times New Roman" w:cs="Times New Roman"/>
                <w:szCs w:val="24"/>
              </w:rPr>
              <w:t>Norādām, ka atklāta konkursa Nolikuma 4.pielikuma 7.veidlapa „</w:t>
            </w:r>
            <w:r w:rsidRPr="00FC29CF">
              <w:rPr>
                <w:rFonts w:ascii="Times New Roman" w:hAnsi="Times New Roman" w:cs="Times New Roman"/>
                <w:szCs w:val="24"/>
              </w:rPr>
              <w:t xml:space="preserve">Pretendenta piesaistīto apakšuzņēmēju saraksts” ir attiecināms uz Pretendenta </w:t>
            </w:r>
            <w:r w:rsidRPr="009B1E83">
              <w:rPr>
                <w:rFonts w:ascii="Times New Roman" w:hAnsi="Times New Roman" w:cs="Times New Roman"/>
                <w:szCs w:val="24"/>
              </w:rPr>
              <w:t>piesaistītajiem apakšuzņēmējiem iepirkuma līguma izpildē, nevis Pretendenta Norādīto personu.</w:t>
            </w:r>
          </w:p>
          <w:p w:rsidR="00F77E3C" w:rsidRPr="00567ED3" w:rsidRDefault="00F77E3C" w:rsidP="00F77E3C">
            <w:pPr>
              <w:overflowPunct w:val="0"/>
              <w:autoSpaceDE w:val="0"/>
              <w:autoSpaceDN w:val="0"/>
              <w:adjustRightInd w:val="0"/>
              <w:spacing w:after="120"/>
              <w:rPr>
                <w:rFonts w:ascii="Times New Roman" w:hAnsi="Times New Roman" w:cs="Times New Roman"/>
                <w:color w:val="000000"/>
                <w:szCs w:val="24"/>
              </w:rPr>
            </w:pPr>
            <w:r w:rsidRPr="009B1E83">
              <w:rPr>
                <w:rFonts w:ascii="Times New Roman" w:hAnsi="Times New Roman" w:cs="Times New Roman"/>
                <w:szCs w:val="24"/>
              </w:rPr>
              <w:t>Vienlaikus norādām, ka gadījumā, ja Pretendents iepirkuma līguma izpildei plāno piesaistīt apakšuzņēmējus, tad saskaņā ar atklāta konkursa Nolikuma 7.2.punktu Pretendents ir tiesīgs nenorādīt tos apakšuzņēmējus, kuru sniedzamo Pakalpojumu vērtība būs mazāka par 10% no kopējās iepirkuma līguma vērtības.</w:t>
            </w:r>
          </w:p>
        </w:tc>
      </w:tr>
      <w:tr w:rsidR="00F77E3C" w:rsidRPr="008B6DE7" w:rsidTr="00FA7E4E">
        <w:trPr>
          <w:trHeight w:val="1441"/>
          <w:jc w:val="center"/>
        </w:trPr>
        <w:tc>
          <w:tcPr>
            <w:tcW w:w="890" w:type="dxa"/>
            <w:shd w:val="clear" w:color="auto" w:fill="auto"/>
          </w:tcPr>
          <w:p w:rsidR="00F77E3C" w:rsidRDefault="00F77E3C" w:rsidP="00F77E3C">
            <w:pPr>
              <w:pStyle w:val="ListParagraph"/>
              <w:spacing w:before="120"/>
              <w:ind w:left="0" w:right="282"/>
              <w:contextualSpacing w:val="0"/>
              <w:jc w:val="center"/>
              <w:rPr>
                <w:rFonts w:ascii="Times New Roman" w:hAnsi="Times New Roman" w:cs="Times New Roman"/>
                <w:b/>
                <w:szCs w:val="24"/>
              </w:rPr>
            </w:pPr>
            <w:r>
              <w:rPr>
                <w:rFonts w:ascii="Times New Roman" w:hAnsi="Times New Roman" w:cs="Times New Roman"/>
                <w:b/>
                <w:szCs w:val="24"/>
              </w:rPr>
              <w:t>5.</w:t>
            </w:r>
          </w:p>
        </w:tc>
        <w:tc>
          <w:tcPr>
            <w:tcW w:w="5029" w:type="dxa"/>
            <w:shd w:val="clear" w:color="auto" w:fill="auto"/>
          </w:tcPr>
          <w:p w:rsidR="00F77E3C" w:rsidRPr="00567ED3" w:rsidRDefault="00F77E3C" w:rsidP="00F77E3C">
            <w:pPr>
              <w:spacing w:after="120"/>
              <w:rPr>
                <w:rFonts w:ascii="Times New Roman" w:hAnsi="Times New Roman" w:cs="Times New Roman"/>
                <w:color w:val="000000"/>
                <w:szCs w:val="24"/>
              </w:rPr>
            </w:pPr>
            <w:r w:rsidRPr="00567ED3">
              <w:rPr>
                <w:rFonts w:ascii="Times New Roman" w:hAnsi="Times New Roman" w:cs="Times New Roman"/>
                <w:color w:val="000000"/>
                <w:szCs w:val="24"/>
              </w:rPr>
              <w:t xml:space="preserve">Lūdzam apstiprināt, ka, ja </w:t>
            </w:r>
            <w:proofErr w:type="spellStart"/>
            <w:r w:rsidRPr="00567ED3">
              <w:rPr>
                <w:rFonts w:ascii="Times New Roman" w:hAnsi="Times New Roman" w:cs="Times New Roman"/>
                <w:color w:val="000000"/>
                <w:szCs w:val="24"/>
              </w:rPr>
              <w:t>Pretendets</w:t>
            </w:r>
            <w:proofErr w:type="spellEnd"/>
            <w:r w:rsidRPr="00567ED3">
              <w:rPr>
                <w:rFonts w:ascii="Times New Roman" w:hAnsi="Times New Roman" w:cs="Times New Roman"/>
                <w:color w:val="000000"/>
                <w:szCs w:val="24"/>
              </w:rPr>
              <w:t xml:space="preserve"> balstās uz Norādīto personu, un tās darba apjoms no kopējā apjoma ir mazāks par 10 %, tad Norādīto personu </w:t>
            </w:r>
            <w:proofErr w:type="spellStart"/>
            <w:r w:rsidRPr="00567ED3">
              <w:rPr>
                <w:rFonts w:ascii="Times New Roman" w:hAnsi="Times New Roman" w:cs="Times New Roman"/>
                <w:color w:val="000000"/>
                <w:szCs w:val="24"/>
              </w:rPr>
              <w:t>jāuzrādā</w:t>
            </w:r>
            <w:proofErr w:type="spellEnd"/>
            <w:r w:rsidRPr="00567ED3">
              <w:rPr>
                <w:rFonts w:ascii="Times New Roman" w:hAnsi="Times New Roman" w:cs="Times New Roman"/>
                <w:color w:val="000000"/>
                <w:szCs w:val="24"/>
              </w:rPr>
              <w:t xml:space="preserve"> 4. pielikuma 12. veidlapas formā  "Informācija par Pretendenta Norādīto Personu". Šajā gadījumā par formā "Informācija par Pretendenta Norādīto Personu" ierakstītajām kompānijām jāpievieno apliecinājumi no tiem par gatavību veikt minētos darbus.</w:t>
            </w:r>
          </w:p>
        </w:tc>
        <w:tc>
          <w:tcPr>
            <w:tcW w:w="3857" w:type="dxa"/>
            <w:shd w:val="clear" w:color="auto" w:fill="auto"/>
          </w:tcPr>
          <w:p w:rsidR="00F77E3C" w:rsidRPr="00FC29CF" w:rsidRDefault="00F77E3C" w:rsidP="00F77E3C">
            <w:pPr>
              <w:contextualSpacing/>
              <w:rPr>
                <w:rFonts w:ascii="Times New Roman" w:hAnsi="Times New Roman" w:cs="Times New Roman"/>
              </w:rPr>
            </w:pPr>
            <w:r w:rsidRPr="00FC29CF">
              <w:rPr>
                <w:rFonts w:ascii="Times New Roman" w:eastAsia="Calibri" w:hAnsi="Times New Roman" w:cs="Times New Roman"/>
                <w:szCs w:val="24"/>
                <w:lang w:eastAsia="en-US"/>
              </w:rPr>
              <w:t xml:space="preserve">Gadījumā, </w:t>
            </w:r>
            <w:r w:rsidRPr="00FC29CF">
              <w:rPr>
                <w:rFonts w:ascii="Times New Roman" w:hAnsi="Times New Roman" w:cs="Times New Roman"/>
              </w:rPr>
              <w:t xml:space="preserve">ja iepirkuma līguma izpildei Pretendents balstās uz Norādītās personas saimnieciskajām un finansiālajām vai tehniskajām un profesionālajām spējām, tad neatkarīgi no kopējā līguma izpildē nododamā darba apjoma, Pretendentam </w:t>
            </w:r>
            <w:r w:rsidRPr="00FC29CF">
              <w:rPr>
                <w:rFonts w:ascii="Times New Roman" w:hAnsi="Times New Roman" w:cs="Times New Roman"/>
                <w:szCs w:val="24"/>
              </w:rPr>
              <w:t xml:space="preserve">Norādīto personu jānorāda atklāta konkursa Nolikuma 4. pielikuma 12. veidlapas formā </w:t>
            </w:r>
            <w:r w:rsidRPr="00FC29CF">
              <w:rPr>
                <w:rFonts w:ascii="Times New Roman" w:hAnsi="Times New Roman" w:cs="Times New Roman"/>
              </w:rPr>
              <w:t>„</w:t>
            </w:r>
            <w:r w:rsidRPr="00FC29CF">
              <w:rPr>
                <w:rFonts w:ascii="Times New Roman" w:hAnsi="Times New Roman" w:cs="Times New Roman"/>
                <w:szCs w:val="24"/>
              </w:rPr>
              <w:t>Informācija par Pretendenta Norādīto Personu”.</w:t>
            </w:r>
          </w:p>
          <w:p w:rsidR="00F77E3C" w:rsidRPr="008B0BE9" w:rsidRDefault="00F77E3C" w:rsidP="00F77E3C">
            <w:pPr>
              <w:overflowPunct w:val="0"/>
              <w:autoSpaceDE w:val="0"/>
              <w:autoSpaceDN w:val="0"/>
              <w:adjustRightInd w:val="0"/>
              <w:spacing w:after="120"/>
              <w:rPr>
                <w:rFonts w:ascii="Times New Roman" w:hAnsi="Times New Roman" w:cs="Times New Roman"/>
                <w:color w:val="000000"/>
                <w:szCs w:val="24"/>
                <w:highlight w:val="yellow"/>
              </w:rPr>
            </w:pPr>
            <w:r w:rsidRPr="00FD7F8B">
              <w:rPr>
                <w:rFonts w:ascii="Times New Roman" w:hAnsi="Times New Roman" w:cs="Times New Roman"/>
                <w:szCs w:val="24"/>
                <w:lang w:eastAsia="en-US"/>
              </w:rPr>
              <w:t>Pretendentam jāiekļauj un jāpievieno piedāvājumam Pretendenta Norādītās personas apliecinājumu par tās gatavību veikt tam līguma izpildē nododamo attiecīgo veicamo darbu daļu.</w:t>
            </w:r>
          </w:p>
        </w:tc>
      </w:tr>
      <w:tr w:rsidR="00F77E3C" w:rsidRPr="008B6DE7" w:rsidTr="00FA7E4E">
        <w:trPr>
          <w:trHeight w:val="1441"/>
          <w:jc w:val="center"/>
        </w:trPr>
        <w:tc>
          <w:tcPr>
            <w:tcW w:w="890" w:type="dxa"/>
            <w:shd w:val="clear" w:color="auto" w:fill="auto"/>
          </w:tcPr>
          <w:p w:rsidR="00F77E3C" w:rsidRDefault="00F77E3C" w:rsidP="00F77E3C">
            <w:pPr>
              <w:pStyle w:val="ListParagraph"/>
              <w:spacing w:before="120"/>
              <w:ind w:left="0" w:right="282"/>
              <w:contextualSpacing w:val="0"/>
              <w:jc w:val="center"/>
              <w:rPr>
                <w:rFonts w:ascii="Times New Roman" w:hAnsi="Times New Roman" w:cs="Times New Roman"/>
                <w:b/>
                <w:szCs w:val="24"/>
              </w:rPr>
            </w:pPr>
            <w:r>
              <w:rPr>
                <w:rFonts w:ascii="Times New Roman" w:hAnsi="Times New Roman" w:cs="Times New Roman"/>
                <w:b/>
                <w:szCs w:val="24"/>
              </w:rPr>
              <w:t>6.</w:t>
            </w:r>
          </w:p>
        </w:tc>
        <w:tc>
          <w:tcPr>
            <w:tcW w:w="5029" w:type="dxa"/>
            <w:shd w:val="clear" w:color="auto" w:fill="auto"/>
          </w:tcPr>
          <w:p w:rsidR="00F77E3C" w:rsidRPr="00567ED3" w:rsidRDefault="00F77E3C" w:rsidP="00F77E3C">
            <w:pPr>
              <w:spacing w:after="120"/>
              <w:rPr>
                <w:rFonts w:ascii="Times New Roman" w:hAnsi="Times New Roman" w:cs="Times New Roman"/>
                <w:color w:val="000000"/>
                <w:szCs w:val="24"/>
              </w:rPr>
            </w:pPr>
            <w:r w:rsidRPr="00567ED3">
              <w:rPr>
                <w:rFonts w:ascii="Times New Roman" w:hAnsi="Times New Roman" w:cs="Times New Roman"/>
                <w:color w:val="000000"/>
                <w:szCs w:val="24"/>
              </w:rPr>
              <w:t xml:space="preserve">Lūdzam apstiprināt, ka 2019.gada 26.jūlijā Skaidrojumos nr. 7 minētajām ārējo datu nesējam  (CD) ar Nolikuma 5.pielikuma „Pasūtītāja prasības” 3.sējuma „Signalizācijas sistēma” tulkojumam latviešu valodā ir tikai informatīvs raksturs, bet prioritātē ir </w:t>
            </w:r>
            <w:proofErr w:type="spellStart"/>
            <w:r w:rsidRPr="00567ED3">
              <w:rPr>
                <w:rFonts w:ascii="Times New Roman" w:hAnsi="Times New Roman" w:cs="Times New Roman"/>
                <w:color w:val="000000"/>
                <w:szCs w:val="24"/>
              </w:rPr>
              <w:t>oriģināltekstam</w:t>
            </w:r>
            <w:proofErr w:type="spellEnd"/>
            <w:r w:rsidRPr="00567ED3">
              <w:rPr>
                <w:rFonts w:ascii="Times New Roman" w:hAnsi="Times New Roman" w:cs="Times New Roman"/>
                <w:color w:val="000000"/>
                <w:szCs w:val="24"/>
              </w:rPr>
              <w:t xml:space="preserve"> angļu valodā.</w:t>
            </w:r>
          </w:p>
        </w:tc>
        <w:tc>
          <w:tcPr>
            <w:tcW w:w="3857" w:type="dxa"/>
            <w:shd w:val="clear" w:color="auto" w:fill="auto"/>
          </w:tcPr>
          <w:p w:rsidR="00F77E3C" w:rsidRPr="00567ED3" w:rsidRDefault="00F77E3C" w:rsidP="00F77E3C">
            <w:pPr>
              <w:overflowPunct w:val="0"/>
              <w:autoSpaceDE w:val="0"/>
              <w:autoSpaceDN w:val="0"/>
              <w:adjustRightInd w:val="0"/>
              <w:spacing w:after="120"/>
              <w:rPr>
                <w:rFonts w:ascii="Times New Roman" w:eastAsia="Calibri" w:hAnsi="Times New Roman" w:cs="Times New Roman"/>
                <w:szCs w:val="24"/>
                <w:lang w:eastAsia="en-US"/>
              </w:rPr>
            </w:pPr>
            <w:r w:rsidRPr="003E5505">
              <w:rPr>
                <w:rFonts w:ascii="Times New Roman" w:hAnsi="Times New Roman" w:cs="Times New Roman"/>
                <w:szCs w:val="24"/>
                <w:lang w:eastAsia="en-US"/>
              </w:rPr>
              <w:t>Apstiprinām, ka</w:t>
            </w:r>
            <w:r>
              <w:rPr>
                <w:rFonts w:ascii="Times New Roman" w:hAnsi="Times New Roman" w:cs="Times New Roman"/>
                <w:szCs w:val="24"/>
                <w:lang w:eastAsia="en-US"/>
              </w:rPr>
              <w:t xml:space="preserve"> Pasūtītāja prasību</w:t>
            </w:r>
            <w:r w:rsidRPr="003E5505">
              <w:rPr>
                <w:rFonts w:ascii="Times New Roman" w:hAnsi="Times New Roman" w:cs="Times New Roman"/>
                <w:szCs w:val="24"/>
                <w:lang w:eastAsia="en-US"/>
              </w:rPr>
              <w:t xml:space="preserve"> </w:t>
            </w:r>
            <w:r w:rsidRPr="003E5505">
              <w:rPr>
                <w:rFonts w:ascii="Times New Roman" w:hAnsi="Times New Roman" w:cs="Times New Roman"/>
                <w:szCs w:val="24"/>
              </w:rPr>
              <w:t>3.sējuma „S</w:t>
            </w:r>
            <w:r>
              <w:rPr>
                <w:rFonts w:ascii="Times New Roman" w:hAnsi="Times New Roman" w:cs="Times New Roman"/>
                <w:szCs w:val="24"/>
              </w:rPr>
              <w:t>ignalizācijas sistēma” tulkojumam</w:t>
            </w:r>
            <w:r w:rsidRPr="003E5505">
              <w:rPr>
                <w:rFonts w:ascii="Times New Roman" w:hAnsi="Times New Roman" w:cs="Times New Roman"/>
                <w:szCs w:val="24"/>
              </w:rPr>
              <w:t xml:space="preserve"> latviešu valodā ir tikai informatīvs raksturs, bet prioritāte ir oriģināl</w:t>
            </w:r>
            <w:r>
              <w:rPr>
                <w:rFonts w:ascii="Times New Roman" w:hAnsi="Times New Roman" w:cs="Times New Roman"/>
                <w:szCs w:val="24"/>
              </w:rPr>
              <w:t xml:space="preserve">ajam </w:t>
            </w:r>
            <w:r w:rsidRPr="003E5505">
              <w:rPr>
                <w:rFonts w:ascii="Times New Roman" w:hAnsi="Times New Roman" w:cs="Times New Roman"/>
                <w:szCs w:val="24"/>
              </w:rPr>
              <w:t>tekstam angļu valodā.</w:t>
            </w:r>
          </w:p>
        </w:tc>
      </w:tr>
      <w:tr w:rsidR="00F77E3C" w:rsidRPr="008B6DE7" w:rsidTr="00F77E3C">
        <w:trPr>
          <w:trHeight w:val="699"/>
          <w:jc w:val="center"/>
        </w:trPr>
        <w:tc>
          <w:tcPr>
            <w:tcW w:w="890" w:type="dxa"/>
            <w:shd w:val="clear" w:color="auto" w:fill="auto"/>
          </w:tcPr>
          <w:p w:rsidR="00F77E3C" w:rsidRDefault="00F77E3C" w:rsidP="00F77E3C">
            <w:pPr>
              <w:pStyle w:val="ListParagraph"/>
              <w:spacing w:before="120"/>
              <w:ind w:left="0" w:right="282"/>
              <w:contextualSpacing w:val="0"/>
              <w:jc w:val="center"/>
              <w:rPr>
                <w:rFonts w:ascii="Times New Roman" w:hAnsi="Times New Roman" w:cs="Times New Roman"/>
                <w:b/>
                <w:szCs w:val="24"/>
              </w:rPr>
            </w:pPr>
            <w:r>
              <w:rPr>
                <w:rFonts w:ascii="Times New Roman" w:hAnsi="Times New Roman" w:cs="Times New Roman"/>
                <w:b/>
                <w:szCs w:val="24"/>
              </w:rPr>
              <w:t>7.</w:t>
            </w:r>
          </w:p>
        </w:tc>
        <w:tc>
          <w:tcPr>
            <w:tcW w:w="5029" w:type="dxa"/>
            <w:shd w:val="clear" w:color="auto" w:fill="auto"/>
          </w:tcPr>
          <w:p w:rsidR="00F77E3C" w:rsidRPr="00567ED3" w:rsidRDefault="00F77E3C" w:rsidP="00F77E3C">
            <w:pPr>
              <w:spacing w:after="120"/>
              <w:rPr>
                <w:rFonts w:ascii="Times New Roman" w:hAnsi="Times New Roman" w:cs="Times New Roman"/>
                <w:color w:val="000000"/>
                <w:szCs w:val="24"/>
              </w:rPr>
            </w:pPr>
            <w:r w:rsidRPr="00567ED3">
              <w:rPr>
                <w:rFonts w:ascii="Times New Roman" w:hAnsi="Times New Roman" w:cs="Times New Roman"/>
                <w:color w:val="000000"/>
                <w:szCs w:val="24"/>
              </w:rPr>
              <w:t>Lūdzam apstiprināt, ka Pasūtītāja prasība "</w:t>
            </w:r>
            <w:proofErr w:type="spellStart"/>
            <w:r w:rsidRPr="00567ED3">
              <w:rPr>
                <w:rFonts w:ascii="Times New Roman" w:hAnsi="Times New Roman" w:cs="Times New Roman"/>
                <w:color w:val="000000"/>
                <w:szCs w:val="24"/>
              </w:rPr>
              <w:t>All</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bolted</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connections</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hinges</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etc</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must</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be</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made</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from</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stainless</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steel</w:t>
            </w:r>
            <w:proofErr w:type="spellEnd"/>
            <w:r w:rsidRPr="00567ED3">
              <w:rPr>
                <w:rFonts w:ascii="Times New Roman" w:hAnsi="Times New Roman" w:cs="Times New Roman"/>
                <w:color w:val="000000"/>
                <w:szCs w:val="24"/>
              </w:rPr>
              <w:t xml:space="preserve">" no punkta 8.1 (b), 8.2.5. </w:t>
            </w:r>
            <w:proofErr w:type="spellStart"/>
            <w:r w:rsidRPr="00567ED3">
              <w:rPr>
                <w:rFonts w:ascii="Times New Roman" w:hAnsi="Times New Roman" w:cs="Times New Roman"/>
                <w:color w:val="000000"/>
                <w:szCs w:val="24"/>
              </w:rPr>
              <w:t>Signal</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structures</w:t>
            </w:r>
            <w:proofErr w:type="spellEnd"/>
            <w:r w:rsidRPr="00567ED3">
              <w:rPr>
                <w:rFonts w:ascii="Times New Roman" w:hAnsi="Times New Roman" w:cs="Times New Roman"/>
                <w:color w:val="000000"/>
                <w:szCs w:val="24"/>
              </w:rPr>
              <w:t xml:space="preserve"> un 8.4.1 </w:t>
            </w:r>
            <w:proofErr w:type="spellStart"/>
            <w:r w:rsidRPr="00567ED3">
              <w:rPr>
                <w:rFonts w:ascii="Times New Roman" w:hAnsi="Times New Roman" w:cs="Times New Roman"/>
                <w:color w:val="000000"/>
                <w:szCs w:val="24"/>
              </w:rPr>
              <w:t>General</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provisions</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Volume</w:t>
            </w:r>
            <w:proofErr w:type="spellEnd"/>
            <w:r w:rsidRPr="00567ED3">
              <w:rPr>
                <w:rFonts w:ascii="Times New Roman" w:hAnsi="Times New Roman" w:cs="Times New Roman"/>
                <w:color w:val="000000"/>
                <w:szCs w:val="24"/>
              </w:rPr>
              <w:t xml:space="preserve"> III. </w:t>
            </w:r>
            <w:proofErr w:type="spellStart"/>
            <w:r w:rsidRPr="00567ED3">
              <w:rPr>
                <w:rFonts w:ascii="Times New Roman" w:hAnsi="Times New Roman" w:cs="Times New Roman"/>
                <w:color w:val="000000"/>
                <w:szCs w:val="24"/>
              </w:rPr>
              <w:t>Employer’s</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Requirements</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Section</w:t>
            </w:r>
            <w:proofErr w:type="spellEnd"/>
            <w:r w:rsidRPr="00567ED3">
              <w:rPr>
                <w:rFonts w:ascii="Times New Roman" w:hAnsi="Times New Roman" w:cs="Times New Roman"/>
                <w:color w:val="000000"/>
                <w:szCs w:val="24"/>
              </w:rPr>
              <w:t xml:space="preserve"> 4. </w:t>
            </w:r>
            <w:proofErr w:type="spellStart"/>
            <w:r w:rsidRPr="00567ED3">
              <w:rPr>
                <w:rFonts w:ascii="Times New Roman" w:hAnsi="Times New Roman" w:cs="Times New Roman"/>
                <w:color w:val="000000"/>
                <w:szCs w:val="24"/>
              </w:rPr>
              <w:t>Technical</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Requirements</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for</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Projected</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Systems</w:t>
            </w:r>
            <w:proofErr w:type="spellEnd"/>
            <w:r w:rsidRPr="00567ED3">
              <w:rPr>
                <w:rFonts w:ascii="Times New Roman" w:hAnsi="Times New Roman" w:cs="Times New Roman"/>
                <w:color w:val="000000"/>
                <w:szCs w:val="24"/>
              </w:rPr>
              <w:t xml:space="preserve"> attiecināma arī masta luksoforu galviņu regulēšanas skrūvēm un visam </w:t>
            </w:r>
            <w:proofErr w:type="spellStart"/>
            <w:r w:rsidRPr="00567ED3">
              <w:rPr>
                <w:rFonts w:ascii="Times New Roman" w:hAnsi="Times New Roman" w:cs="Times New Roman"/>
                <w:color w:val="000000"/>
                <w:szCs w:val="24"/>
              </w:rPr>
              <w:t>detaļam</w:t>
            </w:r>
            <w:proofErr w:type="spellEnd"/>
            <w:r w:rsidRPr="00567ED3">
              <w:rPr>
                <w:rFonts w:ascii="Times New Roman" w:hAnsi="Times New Roman" w:cs="Times New Roman"/>
                <w:color w:val="000000"/>
                <w:szCs w:val="24"/>
              </w:rPr>
              <w:t xml:space="preserve"> kurus </w:t>
            </w:r>
            <w:r w:rsidRPr="00567ED3">
              <w:rPr>
                <w:rFonts w:ascii="Times New Roman" w:hAnsi="Times New Roman" w:cs="Times New Roman"/>
                <w:color w:val="000000"/>
                <w:szCs w:val="24"/>
              </w:rPr>
              <w:lastRenderedPageBreak/>
              <w:t>tehnoloģisku ierobežojumu dēļ nevar aizsargāt pret koroziju ar karstās cinkošanas metodi</w:t>
            </w:r>
          </w:p>
        </w:tc>
        <w:tc>
          <w:tcPr>
            <w:tcW w:w="3857" w:type="dxa"/>
            <w:shd w:val="clear" w:color="auto" w:fill="auto"/>
          </w:tcPr>
          <w:p w:rsidR="00F77E3C" w:rsidRPr="00567ED3" w:rsidRDefault="00F77E3C" w:rsidP="00F77E3C">
            <w:pPr>
              <w:spacing w:after="120"/>
              <w:rPr>
                <w:rFonts w:ascii="Times New Roman" w:hAnsi="Times New Roman" w:cs="Times New Roman"/>
                <w:color w:val="000000"/>
                <w:szCs w:val="24"/>
              </w:rPr>
            </w:pPr>
            <w:r w:rsidRPr="00567ED3">
              <w:rPr>
                <w:rFonts w:ascii="Times New Roman" w:hAnsi="Times New Roman" w:cs="Times New Roman"/>
                <w:color w:val="000000"/>
                <w:szCs w:val="24"/>
              </w:rPr>
              <w:lastRenderedPageBreak/>
              <w:t>Saskaņā ar Pasūtītāja prasību 4.sējuma 3.sadaļas 8.2.5. punktu visu veidu luksoforu bultskrūvju savienojumiem, eņģēm un t.t. jābūt izgatavotām no nerūsējošā tērauda.</w:t>
            </w:r>
          </w:p>
        </w:tc>
      </w:tr>
      <w:tr w:rsidR="00F77E3C" w:rsidRPr="008B6DE7" w:rsidTr="00FA7E4E">
        <w:trPr>
          <w:trHeight w:val="1441"/>
          <w:jc w:val="center"/>
        </w:trPr>
        <w:tc>
          <w:tcPr>
            <w:tcW w:w="890" w:type="dxa"/>
            <w:shd w:val="clear" w:color="auto" w:fill="auto"/>
          </w:tcPr>
          <w:p w:rsidR="00F77E3C" w:rsidRDefault="00F77E3C" w:rsidP="00F77E3C">
            <w:pPr>
              <w:pStyle w:val="ListParagraph"/>
              <w:spacing w:before="120"/>
              <w:ind w:left="0" w:right="282"/>
              <w:contextualSpacing w:val="0"/>
              <w:jc w:val="center"/>
              <w:rPr>
                <w:rFonts w:ascii="Times New Roman" w:hAnsi="Times New Roman" w:cs="Times New Roman"/>
                <w:b/>
                <w:szCs w:val="24"/>
              </w:rPr>
            </w:pPr>
            <w:r>
              <w:rPr>
                <w:rFonts w:ascii="Times New Roman" w:hAnsi="Times New Roman" w:cs="Times New Roman"/>
                <w:b/>
                <w:szCs w:val="24"/>
              </w:rPr>
              <w:t>8.</w:t>
            </w:r>
          </w:p>
        </w:tc>
        <w:tc>
          <w:tcPr>
            <w:tcW w:w="5029" w:type="dxa"/>
            <w:shd w:val="clear" w:color="auto" w:fill="auto"/>
          </w:tcPr>
          <w:p w:rsidR="00F77E3C" w:rsidRPr="00567ED3" w:rsidRDefault="00F77E3C" w:rsidP="00F77E3C">
            <w:pPr>
              <w:spacing w:after="120"/>
              <w:rPr>
                <w:rFonts w:ascii="Times New Roman" w:hAnsi="Times New Roman" w:cs="Times New Roman"/>
                <w:color w:val="000000"/>
                <w:szCs w:val="24"/>
              </w:rPr>
            </w:pPr>
            <w:r w:rsidRPr="00567ED3">
              <w:rPr>
                <w:rFonts w:ascii="Times New Roman" w:hAnsi="Times New Roman" w:cs="Times New Roman"/>
                <w:color w:val="000000"/>
                <w:szCs w:val="24"/>
              </w:rPr>
              <w:t>Lūdzam apstiprināt, ka Pasūtītāja prasība "anti-</w:t>
            </w:r>
            <w:proofErr w:type="spellStart"/>
            <w:r w:rsidRPr="00567ED3">
              <w:rPr>
                <w:rFonts w:ascii="Times New Roman" w:hAnsi="Times New Roman" w:cs="Times New Roman"/>
                <w:color w:val="000000"/>
                <w:szCs w:val="24"/>
              </w:rPr>
              <w:t>vandal</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protection</w:t>
            </w:r>
            <w:proofErr w:type="spellEnd"/>
            <w:r w:rsidRPr="00567ED3">
              <w:rPr>
                <w:rFonts w:ascii="Times New Roman" w:hAnsi="Times New Roman" w:cs="Times New Roman"/>
                <w:color w:val="000000"/>
                <w:szCs w:val="24"/>
              </w:rPr>
              <w:t xml:space="preserve"> IK10" luksoforiem no punkta 8.2.5. </w:t>
            </w:r>
            <w:proofErr w:type="spellStart"/>
            <w:r w:rsidRPr="00567ED3">
              <w:rPr>
                <w:rFonts w:ascii="Times New Roman" w:hAnsi="Times New Roman" w:cs="Times New Roman"/>
                <w:color w:val="000000"/>
                <w:szCs w:val="24"/>
              </w:rPr>
              <w:t>Signal</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structures</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Volume</w:t>
            </w:r>
            <w:proofErr w:type="spellEnd"/>
            <w:r w:rsidRPr="00567ED3">
              <w:rPr>
                <w:rFonts w:ascii="Times New Roman" w:hAnsi="Times New Roman" w:cs="Times New Roman"/>
                <w:color w:val="000000"/>
                <w:szCs w:val="24"/>
              </w:rPr>
              <w:t xml:space="preserve"> III. </w:t>
            </w:r>
            <w:proofErr w:type="spellStart"/>
            <w:r w:rsidRPr="00567ED3">
              <w:rPr>
                <w:rFonts w:ascii="Times New Roman" w:hAnsi="Times New Roman" w:cs="Times New Roman"/>
                <w:color w:val="000000"/>
                <w:szCs w:val="24"/>
              </w:rPr>
              <w:t>Employer’s</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Requirements</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Section</w:t>
            </w:r>
            <w:proofErr w:type="spellEnd"/>
            <w:r w:rsidRPr="00567ED3">
              <w:rPr>
                <w:rFonts w:ascii="Times New Roman" w:hAnsi="Times New Roman" w:cs="Times New Roman"/>
                <w:color w:val="000000"/>
                <w:szCs w:val="24"/>
              </w:rPr>
              <w:t xml:space="preserve"> 4. </w:t>
            </w:r>
            <w:proofErr w:type="spellStart"/>
            <w:r w:rsidRPr="00567ED3">
              <w:rPr>
                <w:rFonts w:ascii="Times New Roman" w:hAnsi="Times New Roman" w:cs="Times New Roman"/>
                <w:color w:val="000000"/>
                <w:szCs w:val="24"/>
              </w:rPr>
              <w:t>Technical</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Requirements</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for</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Projected</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Systems</w:t>
            </w:r>
            <w:proofErr w:type="spellEnd"/>
            <w:r w:rsidRPr="00567ED3">
              <w:rPr>
                <w:rFonts w:ascii="Times New Roman" w:hAnsi="Times New Roman" w:cs="Times New Roman"/>
                <w:color w:val="000000"/>
                <w:szCs w:val="24"/>
              </w:rPr>
              <w:t xml:space="preserve"> attiecināma arī uz visiem iespējamiem luksoforu veidiem/izpildījumiem.</w:t>
            </w:r>
          </w:p>
        </w:tc>
        <w:tc>
          <w:tcPr>
            <w:tcW w:w="3857" w:type="dxa"/>
            <w:shd w:val="clear" w:color="auto" w:fill="auto"/>
          </w:tcPr>
          <w:p w:rsidR="00F77E3C" w:rsidRPr="00567ED3" w:rsidRDefault="00F77E3C" w:rsidP="00F77E3C">
            <w:pPr>
              <w:spacing w:after="120"/>
              <w:rPr>
                <w:rFonts w:ascii="Times New Roman" w:hAnsi="Times New Roman" w:cs="Times New Roman"/>
                <w:color w:val="000000"/>
                <w:szCs w:val="24"/>
              </w:rPr>
            </w:pPr>
            <w:r w:rsidRPr="00567ED3">
              <w:rPr>
                <w:rFonts w:ascii="Times New Roman" w:eastAsia="Calibri" w:hAnsi="Times New Roman" w:cs="Times New Roman"/>
                <w:szCs w:val="24"/>
              </w:rPr>
              <w:t>Pasūtītāja prasību 4.sējuma 3.sadaļas 8.2.5. punkta prasība „</w:t>
            </w:r>
            <w:r w:rsidRPr="00567ED3">
              <w:rPr>
                <w:rFonts w:ascii="Times New Roman" w:eastAsia="Calibri" w:hAnsi="Times New Roman" w:cs="Times New Roman"/>
                <w:color w:val="000000"/>
                <w:szCs w:val="24"/>
              </w:rPr>
              <w:t>anti-</w:t>
            </w:r>
            <w:proofErr w:type="spellStart"/>
            <w:r w:rsidRPr="00567ED3">
              <w:rPr>
                <w:rFonts w:ascii="Times New Roman" w:eastAsia="Calibri" w:hAnsi="Times New Roman" w:cs="Times New Roman"/>
                <w:color w:val="000000"/>
                <w:szCs w:val="24"/>
              </w:rPr>
              <w:t>vandal</w:t>
            </w:r>
            <w:proofErr w:type="spellEnd"/>
            <w:r w:rsidRPr="00567ED3">
              <w:rPr>
                <w:rFonts w:ascii="Times New Roman" w:eastAsia="Calibri" w:hAnsi="Times New Roman" w:cs="Times New Roman"/>
                <w:color w:val="000000"/>
                <w:szCs w:val="24"/>
              </w:rPr>
              <w:t xml:space="preserve"> </w:t>
            </w:r>
            <w:proofErr w:type="spellStart"/>
            <w:r w:rsidRPr="00567ED3">
              <w:rPr>
                <w:rFonts w:ascii="Times New Roman" w:eastAsia="Calibri" w:hAnsi="Times New Roman" w:cs="Times New Roman"/>
                <w:color w:val="000000"/>
                <w:szCs w:val="24"/>
              </w:rPr>
              <w:t>protection</w:t>
            </w:r>
            <w:proofErr w:type="spellEnd"/>
            <w:r w:rsidRPr="00567ED3">
              <w:rPr>
                <w:rFonts w:ascii="Times New Roman" w:eastAsia="Calibri" w:hAnsi="Times New Roman" w:cs="Times New Roman"/>
                <w:color w:val="000000"/>
                <w:szCs w:val="24"/>
              </w:rPr>
              <w:t xml:space="preserve"> IK10" ir attiecināma uz luksoforu galviņām, nagiem, vairogiem un transformatoru kastēm ražotām no SMC tehnoloģijas materiāla.</w:t>
            </w:r>
          </w:p>
        </w:tc>
      </w:tr>
      <w:tr w:rsidR="00F77E3C" w:rsidRPr="008B6DE7" w:rsidTr="00FA7E4E">
        <w:trPr>
          <w:trHeight w:val="1441"/>
          <w:jc w:val="center"/>
        </w:trPr>
        <w:tc>
          <w:tcPr>
            <w:tcW w:w="890" w:type="dxa"/>
            <w:shd w:val="clear" w:color="auto" w:fill="auto"/>
          </w:tcPr>
          <w:p w:rsidR="00F77E3C" w:rsidRDefault="00F77E3C" w:rsidP="00F77E3C">
            <w:pPr>
              <w:pStyle w:val="ListParagraph"/>
              <w:spacing w:before="120"/>
              <w:ind w:left="0" w:right="282"/>
              <w:contextualSpacing w:val="0"/>
              <w:jc w:val="center"/>
              <w:rPr>
                <w:rFonts w:ascii="Times New Roman" w:hAnsi="Times New Roman" w:cs="Times New Roman"/>
                <w:b/>
                <w:szCs w:val="24"/>
              </w:rPr>
            </w:pPr>
            <w:r>
              <w:rPr>
                <w:rFonts w:ascii="Times New Roman" w:hAnsi="Times New Roman" w:cs="Times New Roman"/>
                <w:b/>
                <w:szCs w:val="24"/>
              </w:rPr>
              <w:t>9.</w:t>
            </w:r>
          </w:p>
        </w:tc>
        <w:tc>
          <w:tcPr>
            <w:tcW w:w="5029" w:type="dxa"/>
            <w:shd w:val="clear" w:color="auto" w:fill="auto"/>
          </w:tcPr>
          <w:p w:rsidR="00F77E3C" w:rsidRPr="00567ED3" w:rsidRDefault="00F77E3C" w:rsidP="00F77E3C">
            <w:pPr>
              <w:spacing w:after="120"/>
              <w:rPr>
                <w:rFonts w:ascii="Times New Roman" w:hAnsi="Times New Roman" w:cs="Times New Roman"/>
                <w:color w:val="000000"/>
                <w:szCs w:val="24"/>
              </w:rPr>
            </w:pPr>
            <w:r w:rsidRPr="00567ED3">
              <w:rPr>
                <w:rFonts w:ascii="Times New Roman" w:hAnsi="Times New Roman" w:cs="Times New Roman"/>
                <w:color w:val="000000"/>
                <w:szCs w:val="24"/>
              </w:rPr>
              <w:t>Lūdzam apstiprināt, ka vispārējā Pasūtītāja prasība lauka iekārtām "</w:t>
            </w:r>
            <w:proofErr w:type="spellStart"/>
            <w:r w:rsidRPr="00567ED3">
              <w:rPr>
                <w:rFonts w:ascii="Times New Roman" w:hAnsi="Times New Roman" w:cs="Times New Roman"/>
                <w:color w:val="000000"/>
                <w:szCs w:val="24"/>
              </w:rPr>
              <w:t>water</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and</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dust</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proof</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padding</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of</w:t>
            </w:r>
            <w:proofErr w:type="spellEnd"/>
            <w:r w:rsidRPr="00567ED3">
              <w:rPr>
                <w:rFonts w:ascii="Times New Roman" w:hAnsi="Times New Roman" w:cs="Times New Roman"/>
                <w:color w:val="000000"/>
                <w:szCs w:val="24"/>
              </w:rPr>
              <w:t xml:space="preserve"> a </w:t>
            </w:r>
            <w:proofErr w:type="spellStart"/>
            <w:r w:rsidRPr="00567ED3">
              <w:rPr>
                <w:rFonts w:ascii="Times New Roman" w:hAnsi="Times New Roman" w:cs="Times New Roman"/>
                <w:color w:val="000000"/>
                <w:szCs w:val="24"/>
              </w:rPr>
              <w:t>form</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which</w:t>
            </w:r>
            <w:proofErr w:type="spellEnd"/>
            <w:r w:rsidRPr="00567ED3">
              <w:rPr>
                <w:rFonts w:ascii="Times New Roman" w:hAnsi="Times New Roman" w:cs="Times New Roman"/>
                <w:color w:val="000000"/>
                <w:szCs w:val="24"/>
              </w:rPr>
              <w:t xml:space="preserve"> suits </w:t>
            </w:r>
            <w:proofErr w:type="spellStart"/>
            <w:r w:rsidRPr="00567ED3">
              <w:rPr>
                <w:rFonts w:ascii="Times New Roman" w:hAnsi="Times New Roman" w:cs="Times New Roman"/>
                <w:color w:val="000000"/>
                <w:szCs w:val="24"/>
              </w:rPr>
              <w:t>the</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degree</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of</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air-tightness</w:t>
            </w:r>
            <w:proofErr w:type="spellEnd"/>
            <w:r w:rsidRPr="00567ED3">
              <w:rPr>
                <w:rFonts w:ascii="Times New Roman" w:hAnsi="Times New Roman" w:cs="Times New Roman"/>
                <w:color w:val="000000"/>
                <w:szCs w:val="24"/>
              </w:rPr>
              <w:t xml:space="preserve"> IP65 no punkta 8.1 </w:t>
            </w:r>
            <w:proofErr w:type="spellStart"/>
            <w:r w:rsidRPr="00567ED3">
              <w:rPr>
                <w:rFonts w:ascii="Times New Roman" w:hAnsi="Times New Roman" w:cs="Times New Roman"/>
                <w:color w:val="000000"/>
                <w:szCs w:val="24"/>
              </w:rPr>
              <w:t>General</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provisions</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Volume</w:t>
            </w:r>
            <w:proofErr w:type="spellEnd"/>
            <w:r w:rsidRPr="00567ED3">
              <w:rPr>
                <w:rFonts w:ascii="Times New Roman" w:hAnsi="Times New Roman" w:cs="Times New Roman"/>
                <w:color w:val="000000"/>
                <w:szCs w:val="24"/>
              </w:rPr>
              <w:t xml:space="preserve"> III. </w:t>
            </w:r>
            <w:proofErr w:type="spellStart"/>
            <w:r w:rsidRPr="00567ED3">
              <w:rPr>
                <w:rFonts w:ascii="Times New Roman" w:hAnsi="Times New Roman" w:cs="Times New Roman"/>
                <w:color w:val="000000"/>
                <w:szCs w:val="24"/>
              </w:rPr>
              <w:t>Employer’s</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Requirements</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Section</w:t>
            </w:r>
            <w:proofErr w:type="spellEnd"/>
            <w:r w:rsidRPr="00567ED3">
              <w:rPr>
                <w:rFonts w:ascii="Times New Roman" w:hAnsi="Times New Roman" w:cs="Times New Roman"/>
                <w:color w:val="000000"/>
                <w:szCs w:val="24"/>
              </w:rPr>
              <w:t xml:space="preserve"> 4. </w:t>
            </w:r>
            <w:proofErr w:type="spellStart"/>
            <w:r w:rsidRPr="00567ED3">
              <w:rPr>
                <w:rFonts w:ascii="Times New Roman" w:hAnsi="Times New Roman" w:cs="Times New Roman"/>
                <w:color w:val="000000"/>
                <w:szCs w:val="24"/>
              </w:rPr>
              <w:t>Technical</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Requirements</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for</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Projected</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Systems</w:t>
            </w:r>
            <w:proofErr w:type="spellEnd"/>
            <w:r w:rsidRPr="00567ED3">
              <w:rPr>
                <w:rFonts w:ascii="Times New Roman" w:hAnsi="Times New Roman" w:cs="Times New Roman"/>
                <w:color w:val="000000"/>
                <w:szCs w:val="24"/>
              </w:rPr>
              <w:t>" attiecināma arī, tai skaitā, masta luksoforu transformatoru kastēm, ja šādas ir paredzētas luksofora konstrukcijā.</w:t>
            </w:r>
          </w:p>
        </w:tc>
        <w:tc>
          <w:tcPr>
            <w:tcW w:w="3857" w:type="dxa"/>
            <w:shd w:val="clear" w:color="auto" w:fill="auto"/>
          </w:tcPr>
          <w:p w:rsidR="00F77E3C" w:rsidRPr="00567ED3" w:rsidRDefault="00F77E3C" w:rsidP="00F77E3C">
            <w:pPr>
              <w:overflowPunct w:val="0"/>
              <w:autoSpaceDE w:val="0"/>
              <w:autoSpaceDN w:val="0"/>
              <w:adjustRightInd w:val="0"/>
              <w:spacing w:after="120"/>
              <w:rPr>
                <w:rFonts w:ascii="Times New Roman" w:eastAsia="Calibri" w:hAnsi="Times New Roman" w:cs="Times New Roman"/>
                <w:szCs w:val="24"/>
                <w:lang w:eastAsia="en-US"/>
              </w:rPr>
            </w:pPr>
            <w:r>
              <w:rPr>
                <w:rFonts w:ascii="Times New Roman" w:hAnsi="Times New Roman" w:cs="Times New Roman"/>
                <w:szCs w:val="24"/>
              </w:rPr>
              <w:t>Pasūtītāja prasību 3. sējuma 4. sadaļas 8.1. punkta (c) apakšpunkts nosaka IP65 aizsardzības pakāpi visām lauka iekārtām. Savukārt Pasūtītāja prasību 3. sējuma 4. sadaļas 8.7.1. punkts nosaka IP54 aizsardzības pakāpi skapju un kastu durvīm.</w:t>
            </w:r>
          </w:p>
        </w:tc>
      </w:tr>
      <w:tr w:rsidR="00F77E3C" w:rsidRPr="008B6DE7" w:rsidTr="00FA7E4E">
        <w:trPr>
          <w:trHeight w:val="1441"/>
          <w:jc w:val="center"/>
        </w:trPr>
        <w:tc>
          <w:tcPr>
            <w:tcW w:w="890" w:type="dxa"/>
            <w:shd w:val="clear" w:color="auto" w:fill="auto"/>
          </w:tcPr>
          <w:p w:rsidR="00F77E3C" w:rsidRDefault="00F77E3C" w:rsidP="00F77E3C">
            <w:pPr>
              <w:pStyle w:val="ListParagraph"/>
              <w:spacing w:before="120"/>
              <w:ind w:left="0" w:right="282"/>
              <w:contextualSpacing w:val="0"/>
              <w:jc w:val="center"/>
              <w:rPr>
                <w:rFonts w:ascii="Times New Roman" w:hAnsi="Times New Roman" w:cs="Times New Roman"/>
                <w:b/>
                <w:szCs w:val="24"/>
              </w:rPr>
            </w:pPr>
            <w:r>
              <w:rPr>
                <w:rFonts w:ascii="Times New Roman" w:hAnsi="Times New Roman" w:cs="Times New Roman"/>
                <w:b/>
                <w:szCs w:val="24"/>
              </w:rPr>
              <w:t>10.</w:t>
            </w:r>
          </w:p>
        </w:tc>
        <w:tc>
          <w:tcPr>
            <w:tcW w:w="5029" w:type="dxa"/>
            <w:shd w:val="clear" w:color="auto" w:fill="auto"/>
          </w:tcPr>
          <w:p w:rsidR="00F77E3C" w:rsidRPr="00567ED3" w:rsidRDefault="00F77E3C" w:rsidP="00F77E3C">
            <w:pPr>
              <w:spacing w:after="120"/>
              <w:rPr>
                <w:rFonts w:ascii="Times New Roman" w:hAnsi="Times New Roman" w:cs="Times New Roman"/>
                <w:color w:val="000000"/>
                <w:szCs w:val="24"/>
              </w:rPr>
            </w:pPr>
            <w:r w:rsidRPr="00567ED3">
              <w:rPr>
                <w:rFonts w:ascii="Times New Roman" w:hAnsi="Times New Roman" w:cs="Times New Roman"/>
                <w:color w:val="000000"/>
                <w:szCs w:val="24"/>
              </w:rPr>
              <w:t>Lūdzam apstiprināt, ka Pasūtītāja prasība pārmiju piedziņas pretkorozijas pārklājumam "</w:t>
            </w:r>
            <w:proofErr w:type="spellStart"/>
            <w:r w:rsidRPr="00567ED3">
              <w:rPr>
                <w:rFonts w:ascii="Times New Roman" w:hAnsi="Times New Roman" w:cs="Times New Roman"/>
                <w:color w:val="000000"/>
                <w:szCs w:val="24"/>
              </w:rPr>
              <w:t>must</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be</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made</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by</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hot</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zincing</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according</w:t>
            </w:r>
            <w:proofErr w:type="spellEnd"/>
            <w:r w:rsidRPr="00567ED3">
              <w:rPr>
                <w:rFonts w:ascii="Times New Roman" w:hAnsi="Times New Roman" w:cs="Times New Roman"/>
                <w:color w:val="000000"/>
                <w:szCs w:val="24"/>
              </w:rPr>
              <w:t xml:space="preserve"> to </w:t>
            </w:r>
            <w:proofErr w:type="spellStart"/>
            <w:r w:rsidRPr="00567ED3">
              <w:rPr>
                <w:rFonts w:ascii="Times New Roman" w:hAnsi="Times New Roman" w:cs="Times New Roman"/>
                <w:color w:val="000000"/>
                <w:szCs w:val="24"/>
              </w:rPr>
              <w:t>standard</w:t>
            </w:r>
            <w:proofErr w:type="spellEnd"/>
            <w:r w:rsidRPr="00567ED3">
              <w:rPr>
                <w:rFonts w:ascii="Times New Roman" w:hAnsi="Times New Roman" w:cs="Times New Roman"/>
                <w:color w:val="000000"/>
                <w:szCs w:val="24"/>
              </w:rPr>
              <w:t xml:space="preserve"> ISO 1461 </w:t>
            </w:r>
            <w:proofErr w:type="spellStart"/>
            <w:r w:rsidRPr="00567ED3">
              <w:rPr>
                <w:rFonts w:ascii="Times New Roman" w:hAnsi="Times New Roman" w:cs="Times New Roman"/>
                <w:color w:val="000000"/>
                <w:szCs w:val="24"/>
              </w:rPr>
              <w:t>for</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at</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least</w:t>
            </w:r>
            <w:proofErr w:type="spellEnd"/>
            <w:r w:rsidRPr="00567ED3">
              <w:rPr>
                <w:rFonts w:ascii="Times New Roman" w:hAnsi="Times New Roman" w:cs="Times New Roman"/>
                <w:color w:val="000000"/>
                <w:szCs w:val="24"/>
              </w:rPr>
              <w:t xml:space="preserve"> 15 </w:t>
            </w:r>
            <w:proofErr w:type="spellStart"/>
            <w:r w:rsidRPr="00567ED3">
              <w:rPr>
                <w:rFonts w:ascii="Times New Roman" w:hAnsi="Times New Roman" w:cs="Times New Roman"/>
                <w:color w:val="000000"/>
                <w:szCs w:val="24"/>
              </w:rPr>
              <w:t>years</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Zinc</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according</w:t>
            </w:r>
            <w:proofErr w:type="spellEnd"/>
            <w:r w:rsidRPr="00567ED3">
              <w:rPr>
                <w:rFonts w:ascii="Times New Roman" w:hAnsi="Times New Roman" w:cs="Times New Roman"/>
                <w:color w:val="000000"/>
                <w:szCs w:val="24"/>
              </w:rPr>
              <w:t xml:space="preserve"> to </w:t>
            </w:r>
            <w:proofErr w:type="spellStart"/>
            <w:r w:rsidRPr="00567ED3">
              <w:rPr>
                <w:rFonts w:ascii="Times New Roman" w:hAnsi="Times New Roman" w:cs="Times New Roman"/>
                <w:color w:val="000000"/>
                <w:szCs w:val="24"/>
              </w:rPr>
              <w:t>standard</w:t>
            </w:r>
            <w:proofErr w:type="spellEnd"/>
            <w:r w:rsidRPr="00567ED3">
              <w:rPr>
                <w:rFonts w:ascii="Times New Roman" w:hAnsi="Times New Roman" w:cs="Times New Roman"/>
                <w:color w:val="000000"/>
                <w:szCs w:val="24"/>
              </w:rPr>
              <w:t xml:space="preserve"> EN 1179 </w:t>
            </w:r>
            <w:proofErr w:type="spellStart"/>
            <w:r w:rsidRPr="00567ED3">
              <w:rPr>
                <w:rFonts w:ascii="Times New Roman" w:hAnsi="Times New Roman" w:cs="Times New Roman"/>
                <w:color w:val="000000"/>
                <w:szCs w:val="24"/>
              </w:rPr>
              <w:t>must</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be</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used</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for</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zincing</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All</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bolted</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connections</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hinges</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etc</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must</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be</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made</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from</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stainless</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steel</w:t>
            </w:r>
            <w:proofErr w:type="spellEnd"/>
            <w:r w:rsidRPr="00567ED3">
              <w:rPr>
                <w:rFonts w:ascii="Times New Roman" w:hAnsi="Times New Roman" w:cs="Times New Roman"/>
                <w:color w:val="000000"/>
                <w:szCs w:val="24"/>
              </w:rPr>
              <w:t xml:space="preserve">" no punkta 8.4.1. </w:t>
            </w:r>
            <w:proofErr w:type="spellStart"/>
            <w:r w:rsidRPr="00567ED3">
              <w:rPr>
                <w:rFonts w:ascii="Times New Roman" w:hAnsi="Times New Roman" w:cs="Times New Roman"/>
                <w:color w:val="000000"/>
                <w:szCs w:val="24"/>
              </w:rPr>
              <w:t>General</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provisions</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Volume</w:t>
            </w:r>
            <w:proofErr w:type="spellEnd"/>
            <w:r w:rsidRPr="00567ED3">
              <w:rPr>
                <w:rFonts w:ascii="Times New Roman" w:hAnsi="Times New Roman" w:cs="Times New Roman"/>
                <w:color w:val="000000"/>
                <w:szCs w:val="24"/>
              </w:rPr>
              <w:t xml:space="preserve"> III. </w:t>
            </w:r>
            <w:proofErr w:type="spellStart"/>
            <w:r w:rsidRPr="00567ED3">
              <w:rPr>
                <w:rFonts w:ascii="Times New Roman" w:hAnsi="Times New Roman" w:cs="Times New Roman"/>
                <w:color w:val="000000"/>
                <w:szCs w:val="24"/>
              </w:rPr>
              <w:t>Employer’s</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Requirements</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Section</w:t>
            </w:r>
            <w:proofErr w:type="spellEnd"/>
            <w:r w:rsidRPr="00567ED3">
              <w:rPr>
                <w:rFonts w:ascii="Times New Roman" w:hAnsi="Times New Roman" w:cs="Times New Roman"/>
                <w:color w:val="000000"/>
                <w:szCs w:val="24"/>
              </w:rPr>
              <w:t xml:space="preserve"> 4. </w:t>
            </w:r>
            <w:proofErr w:type="spellStart"/>
            <w:r w:rsidRPr="00567ED3">
              <w:rPr>
                <w:rFonts w:ascii="Times New Roman" w:hAnsi="Times New Roman" w:cs="Times New Roman"/>
                <w:color w:val="000000"/>
                <w:szCs w:val="24"/>
              </w:rPr>
              <w:t>Technical</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Requirements</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for</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Projected</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Systems</w:t>
            </w:r>
            <w:proofErr w:type="spellEnd"/>
            <w:r w:rsidRPr="00567ED3">
              <w:rPr>
                <w:rFonts w:ascii="Times New Roman" w:hAnsi="Times New Roman" w:cs="Times New Roman"/>
                <w:color w:val="000000"/>
                <w:szCs w:val="24"/>
              </w:rPr>
              <w:t xml:space="preserve"> attiecināma tikai un vienīgi pārmiju piedziņas vākiem.</w:t>
            </w:r>
          </w:p>
        </w:tc>
        <w:tc>
          <w:tcPr>
            <w:tcW w:w="3857" w:type="dxa"/>
            <w:shd w:val="clear" w:color="auto" w:fill="auto"/>
          </w:tcPr>
          <w:p w:rsidR="00F77E3C" w:rsidRPr="00567ED3" w:rsidRDefault="00F77E3C" w:rsidP="00F77E3C">
            <w:pPr>
              <w:overflowPunct w:val="0"/>
              <w:autoSpaceDE w:val="0"/>
              <w:autoSpaceDN w:val="0"/>
              <w:adjustRightInd w:val="0"/>
              <w:spacing w:after="120"/>
              <w:rPr>
                <w:rFonts w:ascii="Times New Roman" w:eastAsia="Calibri" w:hAnsi="Times New Roman" w:cs="Times New Roman"/>
                <w:szCs w:val="24"/>
                <w:lang w:eastAsia="en-US"/>
              </w:rPr>
            </w:pPr>
            <w:r>
              <w:rPr>
                <w:rFonts w:ascii="Times New Roman" w:hAnsi="Times New Roman" w:cs="Times New Roman"/>
                <w:szCs w:val="24"/>
              </w:rPr>
              <w:t>Apliecinām, ka tas attiecas tikai un vienīgi uz pārmiju piedziņas vākiem.</w:t>
            </w:r>
          </w:p>
        </w:tc>
      </w:tr>
      <w:tr w:rsidR="00F77E3C" w:rsidRPr="008B6DE7" w:rsidTr="00FA7E4E">
        <w:trPr>
          <w:trHeight w:val="1441"/>
          <w:jc w:val="center"/>
        </w:trPr>
        <w:tc>
          <w:tcPr>
            <w:tcW w:w="890" w:type="dxa"/>
            <w:shd w:val="clear" w:color="auto" w:fill="auto"/>
          </w:tcPr>
          <w:p w:rsidR="00F77E3C" w:rsidRDefault="00F77E3C" w:rsidP="00F77E3C">
            <w:pPr>
              <w:pStyle w:val="ListParagraph"/>
              <w:spacing w:before="120"/>
              <w:ind w:left="0" w:right="282"/>
              <w:contextualSpacing w:val="0"/>
              <w:jc w:val="center"/>
              <w:rPr>
                <w:rFonts w:ascii="Times New Roman" w:hAnsi="Times New Roman" w:cs="Times New Roman"/>
                <w:b/>
                <w:szCs w:val="24"/>
              </w:rPr>
            </w:pPr>
            <w:r>
              <w:rPr>
                <w:rFonts w:ascii="Times New Roman" w:hAnsi="Times New Roman" w:cs="Times New Roman"/>
                <w:b/>
                <w:szCs w:val="24"/>
              </w:rPr>
              <w:t>11.</w:t>
            </w:r>
          </w:p>
        </w:tc>
        <w:tc>
          <w:tcPr>
            <w:tcW w:w="5029" w:type="dxa"/>
            <w:shd w:val="clear" w:color="auto" w:fill="auto"/>
          </w:tcPr>
          <w:p w:rsidR="00F77E3C" w:rsidRPr="00567ED3" w:rsidRDefault="00F77E3C" w:rsidP="00F77E3C">
            <w:pPr>
              <w:spacing w:after="120"/>
              <w:rPr>
                <w:rFonts w:ascii="Times New Roman" w:hAnsi="Times New Roman" w:cs="Times New Roman"/>
                <w:color w:val="000000"/>
                <w:szCs w:val="24"/>
              </w:rPr>
            </w:pPr>
            <w:r w:rsidRPr="00567ED3">
              <w:rPr>
                <w:rFonts w:ascii="Times New Roman" w:hAnsi="Times New Roman" w:cs="Times New Roman"/>
                <w:color w:val="000000"/>
                <w:szCs w:val="24"/>
              </w:rPr>
              <w:t>Lūdzam precizēt, vai Uzņēmējam papildu pretkorozijas aizsardzības nodrošināšanai "</w:t>
            </w:r>
            <w:proofErr w:type="spellStart"/>
            <w:r w:rsidRPr="00567ED3">
              <w:rPr>
                <w:rFonts w:ascii="Times New Roman" w:hAnsi="Times New Roman" w:cs="Times New Roman"/>
                <w:color w:val="000000"/>
                <w:szCs w:val="24"/>
              </w:rPr>
              <w:t>Track</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connectors</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for</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track</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boxes</w:t>
            </w:r>
            <w:proofErr w:type="spellEnd"/>
            <w:r w:rsidRPr="00567ED3">
              <w:rPr>
                <w:rFonts w:ascii="Times New Roman" w:hAnsi="Times New Roman" w:cs="Times New Roman"/>
                <w:color w:val="000000"/>
                <w:szCs w:val="24"/>
              </w:rPr>
              <w:t xml:space="preserve">" punkts 8.7.3. </w:t>
            </w:r>
            <w:proofErr w:type="spellStart"/>
            <w:r w:rsidRPr="00567ED3">
              <w:rPr>
                <w:rFonts w:ascii="Times New Roman" w:hAnsi="Times New Roman" w:cs="Times New Roman"/>
                <w:color w:val="000000"/>
                <w:szCs w:val="24"/>
              </w:rPr>
              <w:t>Requirements</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for</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track</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connectors</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Volume</w:t>
            </w:r>
            <w:proofErr w:type="spellEnd"/>
            <w:r w:rsidRPr="00567ED3">
              <w:rPr>
                <w:rFonts w:ascii="Times New Roman" w:hAnsi="Times New Roman" w:cs="Times New Roman"/>
                <w:color w:val="000000"/>
                <w:szCs w:val="24"/>
              </w:rPr>
              <w:t xml:space="preserve"> III. </w:t>
            </w:r>
            <w:proofErr w:type="spellStart"/>
            <w:r w:rsidRPr="00567ED3">
              <w:rPr>
                <w:rFonts w:ascii="Times New Roman" w:hAnsi="Times New Roman" w:cs="Times New Roman"/>
                <w:color w:val="000000"/>
                <w:szCs w:val="24"/>
              </w:rPr>
              <w:t>Employer’s</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Requirements</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Section</w:t>
            </w:r>
            <w:proofErr w:type="spellEnd"/>
            <w:r w:rsidRPr="00567ED3">
              <w:rPr>
                <w:rFonts w:ascii="Times New Roman" w:hAnsi="Times New Roman" w:cs="Times New Roman"/>
                <w:color w:val="000000"/>
                <w:szCs w:val="24"/>
              </w:rPr>
              <w:t xml:space="preserve"> 4. </w:t>
            </w:r>
            <w:proofErr w:type="spellStart"/>
            <w:r w:rsidRPr="00567ED3">
              <w:rPr>
                <w:rFonts w:ascii="Times New Roman" w:hAnsi="Times New Roman" w:cs="Times New Roman"/>
                <w:color w:val="000000"/>
                <w:szCs w:val="24"/>
              </w:rPr>
              <w:t>Technical</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Requirements</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for</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Projected</w:t>
            </w:r>
            <w:proofErr w:type="spellEnd"/>
            <w:r w:rsidRPr="00567ED3">
              <w:rPr>
                <w:rFonts w:ascii="Times New Roman" w:hAnsi="Times New Roman" w:cs="Times New Roman"/>
                <w:color w:val="000000"/>
                <w:szCs w:val="24"/>
              </w:rPr>
              <w:t xml:space="preserve"> </w:t>
            </w:r>
            <w:proofErr w:type="spellStart"/>
            <w:r w:rsidRPr="00567ED3">
              <w:rPr>
                <w:rFonts w:ascii="Times New Roman" w:hAnsi="Times New Roman" w:cs="Times New Roman"/>
                <w:color w:val="000000"/>
                <w:szCs w:val="24"/>
              </w:rPr>
              <w:t>Systems</w:t>
            </w:r>
            <w:proofErr w:type="spellEnd"/>
            <w:r w:rsidRPr="00567ED3">
              <w:rPr>
                <w:rFonts w:ascii="Times New Roman" w:hAnsi="Times New Roman" w:cs="Times New Roman"/>
                <w:color w:val="000000"/>
                <w:szCs w:val="24"/>
              </w:rPr>
              <w:t xml:space="preserve"> ir atļauts pielietot </w:t>
            </w:r>
            <w:proofErr w:type="spellStart"/>
            <w:r w:rsidRPr="00567ED3">
              <w:rPr>
                <w:rFonts w:ascii="Times New Roman" w:hAnsi="Times New Roman" w:cs="Times New Roman"/>
                <w:color w:val="000000"/>
                <w:szCs w:val="24"/>
              </w:rPr>
              <w:t>papildaizsargājošu</w:t>
            </w:r>
            <w:proofErr w:type="spellEnd"/>
            <w:r w:rsidRPr="00567ED3">
              <w:rPr>
                <w:rFonts w:ascii="Times New Roman" w:hAnsi="Times New Roman" w:cs="Times New Roman"/>
                <w:color w:val="000000"/>
                <w:szCs w:val="24"/>
              </w:rPr>
              <w:t xml:space="preserve"> apvalku trosēm.</w:t>
            </w:r>
          </w:p>
        </w:tc>
        <w:tc>
          <w:tcPr>
            <w:tcW w:w="3857" w:type="dxa"/>
            <w:shd w:val="clear" w:color="auto" w:fill="auto"/>
          </w:tcPr>
          <w:p w:rsidR="00F77E3C" w:rsidRPr="00567ED3" w:rsidRDefault="00F77E3C" w:rsidP="00F77E3C">
            <w:pPr>
              <w:overflowPunct w:val="0"/>
              <w:autoSpaceDE w:val="0"/>
              <w:autoSpaceDN w:val="0"/>
              <w:adjustRightInd w:val="0"/>
              <w:spacing w:after="120"/>
              <w:rPr>
                <w:rFonts w:ascii="Times New Roman" w:eastAsia="Calibri" w:hAnsi="Times New Roman" w:cs="Times New Roman"/>
                <w:szCs w:val="24"/>
                <w:lang w:eastAsia="en-US"/>
              </w:rPr>
            </w:pPr>
            <w:r w:rsidRPr="00726B6E">
              <w:rPr>
                <w:rFonts w:ascii="Times New Roman" w:hAnsi="Times New Roman" w:cs="Times New Roman"/>
                <w:szCs w:val="24"/>
              </w:rPr>
              <w:t xml:space="preserve">Apliecinām, ka Uzņēmējam ir atļauts pielietot </w:t>
            </w:r>
            <w:proofErr w:type="spellStart"/>
            <w:r w:rsidRPr="00726B6E">
              <w:rPr>
                <w:rFonts w:ascii="Times New Roman" w:hAnsi="Times New Roman" w:cs="Times New Roman"/>
                <w:szCs w:val="24"/>
              </w:rPr>
              <w:t>papildaizsargājošu</w:t>
            </w:r>
            <w:proofErr w:type="spellEnd"/>
            <w:r w:rsidRPr="00726B6E">
              <w:rPr>
                <w:rFonts w:ascii="Times New Roman" w:hAnsi="Times New Roman" w:cs="Times New Roman"/>
                <w:szCs w:val="24"/>
              </w:rPr>
              <w:t xml:space="preserve"> apvalku trosēm.</w:t>
            </w:r>
          </w:p>
        </w:tc>
      </w:tr>
      <w:tr w:rsidR="00F77E3C" w:rsidRPr="008B6DE7" w:rsidTr="00FA7E4E">
        <w:trPr>
          <w:trHeight w:val="1441"/>
          <w:jc w:val="center"/>
        </w:trPr>
        <w:tc>
          <w:tcPr>
            <w:tcW w:w="890" w:type="dxa"/>
            <w:shd w:val="clear" w:color="auto" w:fill="auto"/>
          </w:tcPr>
          <w:p w:rsidR="00F77E3C" w:rsidRDefault="00F77E3C" w:rsidP="00F77E3C">
            <w:pPr>
              <w:pStyle w:val="ListParagraph"/>
              <w:spacing w:before="120"/>
              <w:ind w:left="0" w:right="282"/>
              <w:contextualSpacing w:val="0"/>
              <w:jc w:val="center"/>
              <w:rPr>
                <w:rFonts w:ascii="Times New Roman" w:hAnsi="Times New Roman" w:cs="Times New Roman"/>
                <w:b/>
                <w:szCs w:val="24"/>
              </w:rPr>
            </w:pPr>
            <w:r>
              <w:rPr>
                <w:rFonts w:ascii="Times New Roman" w:hAnsi="Times New Roman" w:cs="Times New Roman"/>
                <w:b/>
                <w:szCs w:val="24"/>
              </w:rPr>
              <w:t>12.</w:t>
            </w:r>
          </w:p>
        </w:tc>
        <w:tc>
          <w:tcPr>
            <w:tcW w:w="5029" w:type="dxa"/>
            <w:shd w:val="clear" w:color="auto" w:fill="auto"/>
          </w:tcPr>
          <w:p w:rsidR="00F77E3C" w:rsidRPr="00567ED3" w:rsidRDefault="00F77E3C" w:rsidP="00F77E3C">
            <w:pPr>
              <w:spacing w:after="120"/>
              <w:rPr>
                <w:rFonts w:ascii="Times New Roman" w:hAnsi="Times New Roman" w:cs="Times New Roman"/>
                <w:color w:val="000000"/>
                <w:szCs w:val="24"/>
              </w:rPr>
            </w:pPr>
            <w:r w:rsidRPr="00567ED3">
              <w:rPr>
                <w:rFonts w:ascii="Times New Roman" w:hAnsi="Times New Roman" w:cs="Times New Roman"/>
                <w:color w:val="000000"/>
                <w:szCs w:val="24"/>
              </w:rPr>
              <w:t xml:space="preserve">Lūdzam precizēt, kura korozijas aktivitātes klase saskaņā ar ISO 1461 Uzņēmējam ir jāņem vērā, aprēķinot cinka pārklājuma biezumu, lai izpildītu prasību –  lauku iekārtu aizsardzībai pret koroziju vismaz 15 gadiem. Vēlamies vērst uzmanību, ka korozijas aktivitātes klasei C4, cinka kārta noārdās 2-4 </w:t>
            </w:r>
            <w:proofErr w:type="spellStart"/>
            <w:r w:rsidRPr="00567ED3">
              <w:rPr>
                <w:rFonts w:ascii="Times New Roman" w:hAnsi="Times New Roman" w:cs="Times New Roman"/>
                <w:color w:val="000000"/>
                <w:szCs w:val="24"/>
              </w:rPr>
              <w:t>mk</w:t>
            </w:r>
            <w:proofErr w:type="spellEnd"/>
            <w:r w:rsidRPr="00567ED3">
              <w:rPr>
                <w:rFonts w:ascii="Times New Roman" w:hAnsi="Times New Roman" w:cs="Times New Roman"/>
                <w:color w:val="000000"/>
                <w:szCs w:val="24"/>
              </w:rPr>
              <w:t xml:space="preserve">/gadā, bet C3 klasei cinka kārta noārdās 5.0,7-2mk/gadā. Tādējādi korozijas aktivitātes klases C4 cinka pārklājuma biezumam ir jābūt lielākam par 60 </w:t>
            </w:r>
            <w:proofErr w:type="spellStart"/>
            <w:r w:rsidRPr="00567ED3">
              <w:rPr>
                <w:rFonts w:ascii="Times New Roman" w:hAnsi="Times New Roman" w:cs="Times New Roman"/>
                <w:color w:val="000000"/>
                <w:szCs w:val="24"/>
              </w:rPr>
              <w:t>mk</w:t>
            </w:r>
            <w:proofErr w:type="spellEnd"/>
            <w:r w:rsidRPr="00567ED3">
              <w:rPr>
                <w:rFonts w:ascii="Times New Roman" w:hAnsi="Times New Roman" w:cs="Times New Roman"/>
                <w:color w:val="000000"/>
                <w:szCs w:val="24"/>
              </w:rPr>
              <w:t xml:space="preserve"> (4*15=60 </w:t>
            </w:r>
            <w:proofErr w:type="spellStart"/>
            <w:r w:rsidRPr="00567ED3">
              <w:rPr>
                <w:rFonts w:ascii="Times New Roman" w:hAnsi="Times New Roman" w:cs="Times New Roman"/>
                <w:color w:val="000000"/>
                <w:szCs w:val="24"/>
              </w:rPr>
              <w:t>mk</w:t>
            </w:r>
            <w:proofErr w:type="spellEnd"/>
            <w:r w:rsidRPr="00567ED3">
              <w:rPr>
                <w:rFonts w:ascii="Times New Roman" w:hAnsi="Times New Roman" w:cs="Times New Roman"/>
                <w:color w:val="000000"/>
                <w:szCs w:val="24"/>
              </w:rPr>
              <w:t xml:space="preserve">), bet korozijas aktivitātes klasei C3 cinka pārklājuma biezumam ir jābūt lielākam par 30 </w:t>
            </w:r>
            <w:proofErr w:type="spellStart"/>
            <w:r w:rsidRPr="00567ED3">
              <w:rPr>
                <w:rFonts w:ascii="Times New Roman" w:hAnsi="Times New Roman" w:cs="Times New Roman"/>
                <w:color w:val="000000"/>
                <w:szCs w:val="24"/>
              </w:rPr>
              <w:t>mk</w:t>
            </w:r>
            <w:proofErr w:type="spellEnd"/>
            <w:r w:rsidRPr="00567ED3">
              <w:rPr>
                <w:rFonts w:ascii="Times New Roman" w:hAnsi="Times New Roman" w:cs="Times New Roman"/>
                <w:color w:val="000000"/>
                <w:szCs w:val="24"/>
              </w:rPr>
              <w:t xml:space="preserve"> (2*15=30 </w:t>
            </w:r>
            <w:proofErr w:type="spellStart"/>
            <w:r w:rsidRPr="00567ED3">
              <w:rPr>
                <w:rFonts w:ascii="Times New Roman" w:hAnsi="Times New Roman" w:cs="Times New Roman"/>
                <w:color w:val="000000"/>
                <w:szCs w:val="24"/>
              </w:rPr>
              <w:t>mk</w:t>
            </w:r>
            <w:proofErr w:type="spellEnd"/>
            <w:r w:rsidRPr="00567ED3">
              <w:rPr>
                <w:rFonts w:ascii="Times New Roman" w:hAnsi="Times New Roman" w:cs="Times New Roman"/>
                <w:color w:val="000000"/>
                <w:szCs w:val="24"/>
              </w:rPr>
              <w:t>).</w:t>
            </w:r>
          </w:p>
        </w:tc>
        <w:tc>
          <w:tcPr>
            <w:tcW w:w="3857" w:type="dxa"/>
            <w:shd w:val="clear" w:color="auto" w:fill="auto"/>
          </w:tcPr>
          <w:p w:rsidR="00F77E3C" w:rsidRPr="00567ED3" w:rsidRDefault="00F77E3C" w:rsidP="00F77E3C">
            <w:pPr>
              <w:overflowPunct w:val="0"/>
              <w:autoSpaceDE w:val="0"/>
              <w:autoSpaceDN w:val="0"/>
              <w:adjustRightInd w:val="0"/>
              <w:spacing w:after="120"/>
              <w:rPr>
                <w:rFonts w:ascii="Times New Roman" w:eastAsia="Calibri" w:hAnsi="Times New Roman" w:cs="Times New Roman"/>
                <w:szCs w:val="24"/>
                <w:lang w:eastAsia="en-US"/>
              </w:rPr>
            </w:pPr>
            <w:r>
              <w:rPr>
                <w:rFonts w:ascii="Times New Roman" w:hAnsi="Times New Roman" w:cs="Times New Roman"/>
                <w:szCs w:val="24"/>
              </w:rPr>
              <w:t xml:space="preserve">Uzņēmējam jānodrošina virkne pretkorozijas risinājumu, kas garantētu rūsas pazīmju nerašanos 15 gadu laikā, veidojot to ar karstās cinkošanas paņēmienu, saskaņā ar ISO 1461 standartu. Precīzu pārklājuma biezumu jānosaka būvprojekta izstrādes laikā ņemot vērā apkārtējās vides apstākļus un ievērojot </w:t>
            </w:r>
            <w:r>
              <w:rPr>
                <w:rFonts w:ascii="Times New Roman" w:hAnsi="Times New Roman" w:cs="Times New Roman"/>
                <w:color w:val="000000"/>
                <w:szCs w:val="24"/>
              </w:rPr>
              <w:t>ISO 1461 prasības.</w:t>
            </w:r>
          </w:p>
        </w:tc>
      </w:tr>
      <w:bookmarkEnd w:id="4"/>
    </w:tbl>
    <w:p w:rsidR="00CB6523" w:rsidRPr="008B6DE7" w:rsidRDefault="00CB6523" w:rsidP="00810B79">
      <w:pPr>
        <w:pStyle w:val="ListParagraph"/>
        <w:spacing w:before="120"/>
        <w:ind w:left="0" w:right="282"/>
        <w:contextualSpacing w:val="0"/>
        <w:rPr>
          <w:rFonts w:ascii="Times New Roman" w:hAnsi="Times New Roman" w:cs="Times New Roman"/>
          <w:sz w:val="24"/>
          <w:szCs w:val="24"/>
        </w:rPr>
      </w:pPr>
    </w:p>
    <w:sectPr w:rsidR="00CB6523" w:rsidRPr="008B6DE7" w:rsidSect="004D6653">
      <w:footerReference w:type="default" r:id="rId8"/>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C06" w:rsidRDefault="009C2C06" w:rsidP="00591256">
      <w:r>
        <w:separator/>
      </w:r>
    </w:p>
  </w:endnote>
  <w:endnote w:type="continuationSeparator" w:id="0">
    <w:p w:rsidR="009C2C06" w:rsidRDefault="009C2C06"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rsidR="00591256" w:rsidRDefault="00591256">
        <w:pPr>
          <w:pStyle w:val="Footer"/>
          <w:jc w:val="center"/>
        </w:pPr>
        <w:r>
          <w:fldChar w:fldCharType="begin"/>
        </w:r>
        <w:r>
          <w:instrText xml:space="preserve"> PAGE   \* MERGEFORMAT </w:instrText>
        </w:r>
        <w:r>
          <w:fldChar w:fldCharType="separate"/>
        </w:r>
        <w:r w:rsidR="0064745A">
          <w:rPr>
            <w:noProof/>
          </w:rPr>
          <w:t>2</w:t>
        </w:r>
        <w:r>
          <w:rPr>
            <w:noProof/>
          </w:rPr>
          <w:fldChar w:fldCharType="end"/>
        </w:r>
      </w:p>
    </w:sdtContent>
  </w:sdt>
  <w:p w:rsidR="00591256" w:rsidRDefault="0059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C06" w:rsidRDefault="009C2C06" w:rsidP="00591256">
      <w:r>
        <w:separator/>
      </w:r>
    </w:p>
  </w:footnote>
  <w:footnote w:type="continuationSeparator" w:id="0">
    <w:p w:rsidR="009C2C06" w:rsidRDefault="009C2C06"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22506C"/>
    <w:multiLevelType w:val="hybridMultilevel"/>
    <w:tmpl w:val="F58C8DC6"/>
    <w:lvl w:ilvl="0" w:tplc="E16A399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801365C"/>
    <w:multiLevelType w:val="hybridMultilevel"/>
    <w:tmpl w:val="91AAC8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C5139E2"/>
    <w:multiLevelType w:val="hybridMultilevel"/>
    <w:tmpl w:val="BE660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E81235"/>
    <w:multiLevelType w:val="hybridMultilevel"/>
    <w:tmpl w:val="EA86A85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1674BC"/>
    <w:multiLevelType w:val="hybridMultilevel"/>
    <w:tmpl w:val="8306E48E"/>
    <w:lvl w:ilvl="0" w:tplc="FFFFFFFF">
      <w:start w:val="2"/>
      <w:numFmt w:val="decimal"/>
      <w:lvlText w:val="%1."/>
      <w:lvlJc w:val="left"/>
      <w:pPr>
        <w:ind w:left="1003" w:hanging="360"/>
      </w:pPr>
      <w:rPr>
        <w:rFonts w:hint="default"/>
      </w:rPr>
    </w:lvl>
    <w:lvl w:ilvl="1" w:tplc="FFFFFFFF">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8" w15:restartNumberingAfterBreak="0">
    <w:nsid w:val="0F4F0135"/>
    <w:multiLevelType w:val="hybridMultilevel"/>
    <w:tmpl w:val="2D627F74"/>
    <w:lvl w:ilvl="0" w:tplc="A666351E">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9" w15:restartNumberingAfterBreak="0">
    <w:nsid w:val="12D704F9"/>
    <w:multiLevelType w:val="hybridMultilevel"/>
    <w:tmpl w:val="ECF049EA"/>
    <w:lvl w:ilvl="0" w:tplc="04260017">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13DD2DDA"/>
    <w:multiLevelType w:val="hybridMultilevel"/>
    <w:tmpl w:val="198679B8"/>
    <w:lvl w:ilvl="0" w:tplc="47A4EBD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203D6A68"/>
    <w:multiLevelType w:val="hybridMultilevel"/>
    <w:tmpl w:val="91AAC8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7A64AF9"/>
    <w:multiLevelType w:val="hybridMultilevel"/>
    <w:tmpl w:val="F2C4F4F6"/>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29C64AD2"/>
    <w:multiLevelType w:val="hybridMultilevel"/>
    <w:tmpl w:val="39562386"/>
    <w:lvl w:ilvl="0" w:tplc="E20A1BA8">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2BB62614"/>
    <w:multiLevelType w:val="hybridMultilevel"/>
    <w:tmpl w:val="04882166"/>
    <w:lvl w:ilvl="0" w:tplc="AB3A72C2">
      <w:start w:val="1"/>
      <w:numFmt w:val="lowerLetter"/>
      <w:lvlText w:val="%1)"/>
      <w:lvlJc w:val="left"/>
      <w:pPr>
        <w:ind w:left="420" w:hanging="360"/>
      </w:pPr>
      <w:rPr>
        <w:rFonts w:ascii="Times New Roman" w:eastAsia="Calibri" w:hAnsi="Times New Roman" w:cs="Times New Roman" w:hint="default"/>
        <w:sz w:val="24"/>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7"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2D5C6D3D"/>
    <w:multiLevelType w:val="hybridMultilevel"/>
    <w:tmpl w:val="8306E48E"/>
    <w:lvl w:ilvl="0" w:tplc="FFFFFFFF">
      <w:start w:val="2"/>
      <w:numFmt w:val="decimal"/>
      <w:lvlText w:val="%1."/>
      <w:lvlJc w:val="left"/>
      <w:pPr>
        <w:ind w:left="1003" w:hanging="360"/>
      </w:pPr>
      <w:rPr>
        <w:rFonts w:hint="default"/>
      </w:rPr>
    </w:lvl>
    <w:lvl w:ilvl="1" w:tplc="FFFFFFFF">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19" w15:restartNumberingAfterBreak="0">
    <w:nsid w:val="2DEF5B92"/>
    <w:multiLevelType w:val="hybridMultilevel"/>
    <w:tmpl w:val="958A58DA"/>
    <w:lvl w:ilvl="0" w:tplc="D718621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EAB10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22" w15:restartNumberingAfterBreak="0">
    <w:nsid w:val="32C4429D"/>
    <w:multiLevelType w:val="hybridMultilevel"/>
    <w:tmpl w:val="D3D2C4B2"/>
    <w:lvl w:ilvl="0" w:tplc="C370459C">
      <w:start w:val="1"/>
      <w:numFmt w:val="bullet"/>
      <w:lvlText w:val="-"/>
      <w:lvlJc w:val="left"/>
      <w:pPr>
        <w:ind w:left="1080" w:hanging="360"/>
      </w:pPr>
      <w:rPr>
        <w:rFonts w:ascii="Calibri" w:eastAsia="Times New Roman"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24" w15:restartNumberingAfterBreak="0">
    <w:nsid w:val="35332DF3"/>
    <w:multiLevelType w:val="hybridMultilevel"/>
    <w:tmpl w:val="BBCAE494"/>
    <w:lvl w:ilvl="0" w:tplc="94B46066">
      <w:start w:val="1"/>
      <w:numFmt w:val="decimal"/>
      <w:lvlText w:val="%1."/>
      <w:lvlJc w:val="left"/>
      <w:pPr>
        <w:ind w:left="1068" w:hanging="360"/>
      </w:pPr>
      <w:rPr>
        <w:rFonts w:ascii="Calibri" w:eastAsiaTheme="minorHAnsi" w:hAnsi="Calibri" w:cs="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EA218EE"/>
    <w:multiLevelType w:val="hybridMultilevel"/>
    <w:tmpl w:val="2B560992"/>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27" w15:restartNumberingAfterBreak="0">
    <w:nsid w:val="41D120AF"/>
    <w:multiLevelType w:val="hybridMultilevel"/>
    <w:tmpl w:val="BE660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6F90710"/>
    <w:multiLevelType w:val="hybridMultilevel"/>
    <w:tmpl w:val="7A301A9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31" w15:restartNumberingAfterBreak="0">
    <w:nsid w:val="50B91A6D"/>
    <w:multiLevelType w:val="hybridMultilevel"/>
    <w:tmpl w:val="305A6706"/>
    <w:lvl w:ilvl="0" w:tplc="B9046B06">
      <w:start w:val="1"/>
      <w:numFmt w:val="decimal"/>
      <w:lvlText w:val="%1."/>
      <w:lvlJc w:val="left"/>
      <w:pPr>
        <w:ind w:left="786" w:hanging="360"/>
      </w:pPr>
      <w:rPr>
        <w:rFonts w:ascii="Times New Roman" w:hAnsi="Times New Roman" w:cs="Times New Roman" w:hint="default"/>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32" w15:restartNumberingAfterBreak="0">
    <w:nsid w:val="51E21C02"/>
    <w:multiLevelType w:val="hybridMultilevel"/>
    <w:tmpl w:val="DF926FB4"/>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2C22ACE"/>
    <w:multiLevelType w:val="hybridMultilevel"/>
    <w:tmpl w:val="A1C8F0F8"/>
    <w:lvl w:ilvl="0" w:tplc="E20A1BA8">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4" w15:restartNumberingAfterBreak="0">
    <w:nsid w:val="54B03E4F"/>
    <w:multiLevelType w:val="hybridMultilevel"/>
    <w:tmpl w:val="A63E450A"/>
    <w:lvl w:ilvl="0" w:tplc="DDC8FEE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4CB4132"/>
    <w:multiLevelType w:val="hybridMultilevel"/>
    <w:tmpl w:val="91AAC8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6FF0A8A"/>
    <w:multiLevelType w:val="hybridMultilevel"/>
    <w:tmpl w:val="177C2D60"/>
    <w:lvl w:ilvl="0" w:tplc="AB3A72C2">
      <w:start w:val="1"/>
      <w:numFmt w:val="lowerLetter"/>
      <w:lvlText w:val="%1)"/>
      <w:lvlJc w:val="left"/>
      <w:pPr>
        <w:ind w:left="420" w:hanging="360"/>
      </w:pPr>
      <w:rPr>
        <w:rFonts w:ascii="Times New Roman" w:eastAsia="Calibri" w:hAnsi="Times New Roman" w:cs="Times New Roman" w:hint="default"/>
        <w:sz w:val="24"/>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8"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E7E699C"/>
    <w:multiLevelType w:val="hybridMultilevel"/>
    <w:tmpl w:val="8306E48E"/>
    <w:lvl w:ilvl="0" w:tplc="FFFFFFFF">
      <w:start w:val="2"/>
      <w:numFmt w:val="decimal"/>
      <w:lvlText w:val="%1."/>
      <w:lvlJc w:val="left"/>
      <w:pPr>
        <w:ind w:left="1003" w:hanging="360"/>
      </w:pPr>
      <w:rPr>
        <w:rFonts w:hint="default"/>
      </w:rPr>
    </w:lvl>
    <w:lvl w:ilvl="1" w:tplc="FFFFFFFF">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tentative="1">
      <w:start w:val="1"/>
      <w:numFmt w:val="lowerRoman"/>
      <w:lvlText w:val="%9."/>
      <w:lvlJc w:val="right"/>
      <w:pPr>
        <w:ind w:left="6763"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21"/>
  </w:num>
  <w:num w:numId="4">
    <w:abstractNumId w:val="23"/>
  </w:num>
  <w:num w:numId="5">
    <w:abstractNumId w:val="12"/>
  </w:num>
  <w:num w:numId="6">
    <w:abstractNumId w:val="36"/>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7"/>
  </w:num>
  <w:num w:numId="10">
    <w:abstractNumId w:val="1"/>
  </w:num>
  <w:num w:numId="11">
    <w:abstractNumId w:val="30"/>
  </w:num>
  <w:num w:numId="12">
    <w:abstractNumId w:val="0"/>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5"/>
  </w:num>
  <w:num w:numId="16">
    <w:abstractNumId w:val="10"/>
  </w:num>
  <w:num w:numId="17">
    <w:abstractNumId w:val="9"/>
  </w:num>
  <w:num w:numId="18">
    <w:abstractNumId w:val="15"/>
  </w:num>
  <w:num w:numId="19">
    <w:abstractNumId w:val="33"/>
  </w:num>
  <w:num w:numId="20">
    <w:abstractNumId w:val="28"/>
  </w:num>
  <w:num w:numId="21">
    <w:abstractNumId w:val="2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1"/>
  </w:num>
  <w:num w:numId="28">
    <w:abstractNumId w:val="3"/>
  </w:num>
  <w:num w:numId="29">
    <w:abstractNumId w:val="27"/>
  </w:num>
  <w:num w:numId="30">
    <w:abstractNumId w:val="4"/>
  </w:num>
  <w:num w:numId="31">
    <w:abstractNumId w:val="25"/>
  </w:num>
  <w:num w:numId="32">
    <w:abstractNumId w:val="7"/>
  </w:num>
  <w:num w:numId="33">
    <w:abstractNumId w:val="18"/>
  </w:num>
  <w:num w:numId="34">
    <w:abstractNumId w:val="40"/>
  </w:num>
  <w:num w:numId="35">
    <w:abstractNumId w:val="22"/>
  </w:num>
  <w:num w:numId="36">
    <w:abstractNumId w:val="37"/>
  </w:num>
  <w:num w:numId="37">
    <w:abstractNumId w:val="16"/>
  </w:num>
  <w:num w:numId="38">
    <w:abstractNumId w:val="32"/>
  </w:num>
  <w:num w:numId="39">
    <w:abstractNumId w:val="19"/>
  </w:num>
  <w:num w:numId="40">
    <w:abstractNumId w:val="6"/>
  </w:num>
  <w:num w:numId="41">
    <w:abstractNumId w:val="13"/>
  </w:num>
  <w:num w:numId="42">
    <w:abstractNumId w:val="34"/>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1130A"/>
    <w:rsid w:val="000132C4"/>
    <w:rsid w:val="000232F0"/>
    <w:rsid w:val="00024A24"/>
    <w:rsid w:val="00037ACA"/>
    <w:rsid w:val="00052337"/>
    <w:rsid w:val="00067370"/>
    <w:rsid w:val="000753AE"/>
    <w:rsid w:val="00075CD8"/>
    <w:rsid w:val="0008750A"/>
    <w:rsid w:val="0009126E"/>
    <w:rsid w:val="000F07E7"/>
    <w:rsid w:val="000F1484"/>
    <w:rsid w:val="000F595D"/>
    <w:rsid w:val="0011221E"/>
    <w:rsid w:val="00115906"/>
    <w:rsid w:val="00124FFD"/>
    <w:rsid w:val="00132AE1"/>
    <w:rsid w:val="001447C7"/>
    <w:rsid w:val="001573E2"/>
    <w:rsid w:val="00163F1B"/>
    <w:rsid w:val="0017283D"/>
    <w:rsid w:val="001A3C4E"/>
    <w:rsid w:val="001A3CAD"/>
    <w:rsid w:val="001B033F"/>
    <w:rsid w:val="001B211F"/>
    <w:rsid w:val="001B7B25"/>
    <w:rsid w:val="001C1DA6"/>
    <w:rsid w:val="001C4860"/>
    <w:rsid w:val="001E151D"/>
    <w:rsid w:val="001F2825"/>
    <w:rsid w:val="00204413"/>
    <w:rsid w:val="002150DD"/>
    <w:rsid w:val="00220950"/>
    <w:rsid w:val="00223533"/>
    <w:rsid w:val="002247D0"/>
    <w:rsid w:val="00227B32"/>
    <w:rsid w:val="00244F08"/>
    <w:rsid w:val="00246DAF"/>
    <w:rsid w:val="00247412"/>
    <w:rsid w:val="00263116"/>
    <w:rsid w:val="00265DC7"/>
    <w:rsid w:val="002711AF"/>
    <w:rsid w:val="0028443C"/>
    <w:rsid w:val="00287375"/>
    <w:rsid w:val="0029616F"/>
    <w:rsid w:val="00297DEA"/>
    <w:rsid w:val="002D6359"/>
    <w:rsid w:val="002E107A"/>
    <w:rsid w:val="002E23F3"/>
    <w:rsid w:val="002F0834"/>
    <w:rsid w:val="002F4012"/>
    <w:rsid w:val="0030311C"/>
    <w:rsid w:val="003148CF"/>
    <w:rsid w:val="003175C6"/>
    <w:rsid w:val="00336EC0"/>
    <w:rsid w:val="00344070"/>
    <w:rsid w:val="00360B0E"/>
    <w:rsid w:val="00362DF2"/>
    <w:rsid w:val="00366074"/>
    <w:rsid w:val="00370471"/>
    <w:rsid w:val="00370B7B"/>
    <w:rsid w:val="0037315B"/>
    <w:rsid w:val="003759C9"/>
    <w:rsid w:val="003764EE"/>
    <w:rsid w:val="00384823"/>
    <w:rsid w:val="003872C0"/>
    <w:rsid w:val="003957DA"/>
    <w:rsid w:val="00396D80"/>
    <w:rsid w:val="003A5DD6"/>
    <w:rsid w:val="003C415B"/>
    <w:rsid w:val="003D2470"/>
    <w:rsid w:val="003D557C"/>
    <w:rsid w:val="003D576F"/>
    <w:rsid w:val="003F21B3"/>
    <w:rsid w:val="003F61B4"/>
    <w:rsid w:val="004115F0"/>
    <w:rsid w:val="00411CFA"/>
    <w:rsid w:val="00415931"/>
    <w:rsid w:val="00431C11"/>
    <w:rsid w:val="00445D89"/>
    <w:rsid w:val="004525DD"/>
    <w:rsid w:val="00463E41"/>
    <w:rsid w:val="00487AFC"/>
    <w:rsid w:val="00492F79"/>
    <w:rsid w:val="004B1024"/>
    <w:rsid w:val="004B6A0A"/>
    <w:rsid w:val="004C0488"/>
    <w:rsid w:val="004D6653"/>
    <w:rsid w:val="004E6C6A"/>
    <w:rsid w:val="004E736D"/>
    <w:rsid w:val="004F1F22"/>
    <w:rsid w:val="004F21DA"/>
    <w:rsid w:val="005020C2"/>
    <w:rsid w:val="0050366A"/>
    <w:rsid w:val="00506654"/>
    <w:rsid w:val="00510F6F"/>
    <w:rsid w:val="005116C3"/>
    <w:rsid w:val="0051308D"/>
    <w:rsid w:val="005571A9"/>
    <w:rsid w:val="005758A8"/>
    <w:rsid w:val="0058598B"/>
    <w:rsid w:val="00591256"/>
    <w:rsid w:val="00592BA6"/>
    <w:rsid w:val="005B10F1"/>
    <w:rsid w:val="005B5129"/>
    <w:rsid w:val="005B6E3D"/>
    <w:rsid w:val="005D3681"/>
    <w:rsid w:val="005E025F"/>
    <w:rsid w:val="005E0FCD"/>
    <w:rsid w:val="00602A51"/>
    <w:rsid w:val="00614E0C"/>
    <w:rsid w:val="0061753F"/>
    <w:rsid w:val="006260C2"/>
    <w:rsid w:val="00634E93"/>
    <w:rsid w:val="0063532D"/>
    <w:rsid w:val="006366B0"/>
    <w:rsid w:val="00637A79"/>
    <w:rsid w:val="00641E1F"/>
    <w:rsid w:val="0064745A"/>
    <w:rsid w:val="00653138"/>
    <w:rsid w:val="00656FA1"/>
    <w:rsid w:val="00660817"/>
    <w:rsid w:val="006733E0"/>
    <w:rsid w:val="00677617"/>
    <w:rsid w:val="00685C3C"/>
    <w:rsid w:val="006B5391"/>
    <w:rsid w:val="006B5E9E"/>
    <w:rsid w:val="006C13E6"/>
    <w:rsid w:val="006D4EF1"/>
    <w:rsid w:val="006E6BDE"/>
    <w:rsid w:val="006F0B85"/>
    <w:rsid w:val="006F1AA9"/>
    <w:rsid w:val="006F698B"/>
    <w:rsid w:val="00702370"/>
    <w:rsid w:val="007068FA"/>
    <w:rsid w:val="00713CA1"/>
    <w:rsid w:val="00713DC9"/>
    <w:rsid w:val="00713FBD"/>
    <w:rsid w:val="0072612E"/>
    <w:rsid w:val="00735553"/>
    <w:rsid w:val="00744340"/>
    <w:rsid w:val="00761806"/>
    <w:rsid w:val="00764E82"/>
    <w:rsid w:val="00771001"/>
    <w:rsid w:val="00773099"/>
    <w:rsid w:val="007842AC"/>
    <w:rsid w:val="007879F0"/>
    <w:rsid w:val="0079216E"/>
    <w:rsid w:val="0079365B"/>
    <w:rsid w:val="007C4A77"/>
    <w:rsid w:val="007E0D88"/>
    <w:rsid w:val="007E64FF"/>
    <w:rsid w:val="00805B84"/>
    <w:rsid w:val="00810B79"/>
    <w:rsid w:val="00816A26"/>
    <w:rsid w:val="008219EC"/>
    <w:rsid w:val="00853ABB"/>
    <w:rsid w:val="0085678F"/>
    <w:rsid w:val="00856808"/>
    <w:rsid w:val="00863EBB"/>
    <w:rsid w:val="00884863"/>
    <w:rsid w:val="008862F5"/>
    <w:rsid w:val="00892BED"/>
    <w:rsid w:val="008A41C8"/>
    <w:rsid w:val="008A44DC"/>
    <w:rsid w:val="008B6DE7"/>
    <w:rsid w:val="008C59C7"/>
    <w:rsid w:val="008D6CD5"/>
    <w:rsid w:val="008D7B9D"/>
    <w:rsid w:val="008E0D44"/>
    <w:rsid w:val="008E41A5"/>
    <w:rsid w:val="008E6559"/>
    <w:rsid w:val="00912FC6"/>
    <w:rsid w:val="00917F02"/>
    <w:rsid w:val="00931386"/>
    <w:rsid w:val="009336FC"/>
    <w:rsid w:val="009431B9"/>
    <w:rsid w:val="00951A11"/>
    <w:rsid w:val="009624F7"/>
    <w:rsid w:val="009852CE"/>
    <w:rsid w:val="009A242E"/>
    <w:rsid w:val="009B0457"/>
    <w:rsid w:val="009B46BB"/>
    <w:rsid w:val="009C2C06"/>
    <w:rsid w:val="009D27E0"/>
    <w:rsid w:val="009D6415"/>
    <w:rsid w:val="009E5489"/>
    <w:rsid w:val="009E7606"/>
    <w:rsid w:val="00A06273"/>
    <w:rsid w:val="00A15D2E"/>
    <w:rsid w:val="00A176F5"/>
    <w:rsid w:val="00A208FA"/>
    <w:rsid w:val="00A21BD0"/>
    <w:rsid w:val="00A3521F"/>
    <w:rsid w:val="00A35E2D"/>
    <w:rsid w:val="00A37468"/>
    <w:rsid w:val="00A37797"/>
    <w:rsid w:val="00A63CF1"/>
    <w:rsid w:val="00A75BAC"/>
    <w:rsid w:val="00A82463"/>
    <w:rsid w:val="00A863C0"/>
    <w:rsid w:val="00A93B57"/>
    <w:rsid w:val="00A954CA"/>
    <w:rsid w:val="00A9595B"/>
    <w:rsid w:val="00AB3618"/>
    <w:rsid w:val="00AB5C67"/>
    <w:rsid w:val="00AC01EB"/>
    <w:rsid w:val="00AC7B56"/>
    <w:rsid w:val="00AE1116"/>
    <w:rsid w:val="00AE5484"/>
    <w:rsid w:val="00AE5C91"/>
    <w:rsid w:val="00B04E8A"/>
    <w:rsid w:val="00B22682"/>
    <w:rsid w:val="00B24562"/>
    <w:rsid w:val="00B27D58"/>
    <w:rsid w:val="00B30B4F"/>
    <w:rsid w:val="00B310B5"/>
    <w:rsid w:val="00B45A34"/>
    <w:rsid w:val="00B57CB0"/>
    <w:rsid w:val="00B62BFC"/>
    <w:rsid w:val="00B728FD"/>
    <w:rsid w:val="00B73FBA"/>
    <w:rsid w:val="00B76621"/>
    <w:rsid w:val="00B9005B"/>
    <w:rsid w:val="00B94E33"/>
    <w:rsid w:val="00BB3722"/>
    <w:rsid w:val="00BE0F84"/>
    <w:rsid w:val="00BF0C0C"/>
    <w:rsid w:val="00C04B47"/>
    <w:rsid w:val="00C1211C"/>
    <w:rsid w:val="00C1296A"/>
    <w:rsid w:val="00C351C9"/>
    <w:rsid w:val="00C46156"/>
    <w:rsid w:val="00C47038"/>
    <w:rsid w:val="00C5337F"/>
    <w:rsid w:val="00C5452E"/>
    <w:rsid w:val="00C7734F"/>
    <w:rsid w:val="00C864F5"/>
    <w:rsid w:val="00C867EA"/>
    <w:rsid w:val="00C86975"/>
    <w:rsid w:val="00C87D1D"/>
    <w:rsid w:val="00CA194D"/>
    <w:rsid w:val="00CB25A5"/>
    <w:rsid w:val="00CB6523"/>
    <w:rsid w:val="00CE0AC2"/>
    <w:rsid w:val="00CF6C45"/>
    <w:rsid w:val="00D1482E"/>
    <w:rsid w:val="00D17FBF"/>
    <w:rsid w:val="00D3561F"/>
    <w:rsid w:val="00D4239E"/>
    <w:rsid w:val="00D564B8"/>
    <w:rsid w:val="00D61B22"/>
    <w:rsid w:val="00D665FB"/>
    <w:rsid w:val="00D7671F"/>
    <w:rsid w:val="00D775C1"/>
    <w:rsid w:val="00D83E2B"/>
    <w:rsid w:val="00DA2AFF"/>
    <w:rsid w:val="00DB3949"/>
    <w:rsid w:val="00DC256D"/>
    <w:rsid w:val="00DC42B9"/>
    <w:rsid w:val="00DC5224"/>
    <w:rsid w:val="00DD283A"/>
    <w:rsid w:val="00DD3133"/>
    <w:rsid w:val="00E0059C"/>
    <w:rsid w:val="00E15041"/>
    <w:rsid w:val="00E26D46"/>
    <w:rsid w:val="00E30DA2"/>
    <w:rsid w:val="00E30FB4"/>
    <w:rsid w:val="00E423E0"/>
    <w:rsid w:val="00E50083"/>
    <w:rsid w:val="00E74F21"/>
    <w:rsid w:val="00E74F57"/>
    <w:rsid w:val="00E82AFA"/>
    <w:rsid w:val="00E934D7"/>
    <w:rsid w:val="00E941A3"/>
    <w:rsid w:val="00EA2EC9"/>
    <w:rsid w:val="00EA572A"/>
    <w:rsid w:val="00EA6564"/>
    <w:rsid w:val="00EA7F09"/>
    <w:rsid w:val="00ED3983"/>
    <w:rsid w:val="00ED5BAB"/>
    <w:rsid w:val="00ED72A4"/>
    <w:rsid w:val="00EF6932"/>
    <w:rsid w:val="00F05C46"/>
    <w:rsid w:val="00F06F41"/>
    <w:rsid w:val="00F11C52"/>
    <w:rsid w:val="00F12D47"/>
    <w:rsid w:val="00F142F1"/>
    <w:rsid w:val="00F630C6"/>
    <w:rsid w:val="00F738F2"/>
    <w:rsid w:val="00F755F7"/>
    <w:rsid w:val="00F77688"/>
    <w:rsid w:val="00F77E3C"/>
    <w:rsid w:val="00F803DD"/>
    <w:rsid w:val="00F823DB"/>
    <w:rsid w:val="00F93ADA"/>
    <w:rsid w:val="00F95065"/>
    <w:rsid w:val="00F9799B"/>
    <w:rsid w:val="00FA4AF0"/>
    <w:rsid w:val="00FC0FCE"/>
    <w:rsid w:val="00FD1298"/>
    <w:rsid w:val="00FD26CC"/>
    <w:rsid w:val="00FE6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C40A7"/>
  <w15:docId w15:val="{1EDC91AA-5E02-4C34-B748-112D181C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Strip"/>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Strip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tlid-translation">
    <w:name w:val="tlid-translation"/>
    <w:basedOn w:val="DefaultParagraphFont"/>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C2968-04B9-48B5-99E9-307C28B2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6602</Words>
  <Characters>3764</Characters>
  <Application>Microsoft Office Word</Application>
  <DocSecurity>0</DocSecurity>
  <Lines>31</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Valdis Fabriks</dc:creator>
  <cp:lastModifiedBy>Dana Cielēna</cp:lastModifiedBy>
  <cp:revision>4</cp:revision>
  <cp:lastPrinted>2019-06-27T06:53:00Z</cp:lastPrinted>
  <dcterms:created xsi:type="dcterms:W3CDTF">2019-07-31T13:00:00Z</dcterms:created>
  <dcterms:modified xsi:type="dcterms:W3CDTF">2019-08-01T13:21:00Z</dcterms:modified>
</cp:coreProperties>
</file>