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6F292" w14:textId="6BD4EC3C"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APSTIPRINĀTS:</w:t>
      </w:r>
    </w:p>
    <w:p w14:paraId="7DA495E4" w14:textId="0B483873"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 xml:space="preserve">ar iepirkuma komisijas </w:t>
      </w:r>
      <w:r w:rsidRPr="001A3CAD">
        <w:rPr>
          <w:rFonts w:ascii="Times New Roman" w:eastAsia="Arial Unicode MS" w:hAnsi="Times New Roman" w:cs="Times New Roman"/>
          <w:i/>
          <w:sz w:val="24"/>
        </w:rPr>
        <w:t>2019</w:t>
      </w:r>
      <w:r w:rsidRPr="00735553">
        <w:rPr>
          <w:rFonts w:ascii="Times New Roman" w:eastAsia="Arial Unicode MS" w:hAnsi="Times New Roman" w:cs="Times New Roman"/>
          <w:i/>
          <w:sz w:val="24"/>
        </w:rPr>
        <w:t>.</w:t>
      </w:r>
      <w:r w:rsidRPr="006B5391">
        <w:rPr>
          <w:rFonts w:ascii="Times New Roman" w:eastAsia="Arial Unicode MS" w:hAnsi="Times New Roman" w:cs="Times New Roman"/>
          <w:i/>
          <w:sz w:val="24"/>
        </w:rPr>
        <w:t xml:space="preserve">gada </w:t>
      </w:r>
      <w:r w:rsidR="00131652">
        <w:rPr>
          <w:rFonts w:ascii="Times New Roman" w:eastAsia="Arial Unicode MS" w:hAnsi="Times New Roman" w:cs="Times New Roman"/>
          <w:i/>
          <w:sz w:val="24"/>
        </w:rPr>
        <w:t>1</w:t>
      </w:r>
      <w:r w:rsidR="004C0953">
        <w:rPr>
          <w:rFonts w:ascii="Times New Roman" w:eastAsia="Arial Unicode MS" w:hAnsi="Times New Roman" w:cs="Times New Roman"/>
          <w:i/>
          <w:sz w:val="24"/>
        </w:rPr>
        <w:t>2</w:t>
      </w:r>
      <w:r w:rsidRPr="00316F0B">
        <w:rPr>
          <w:rFonts w:ascii="Times New Roman" w:eastAsia="Arial Unicode MS" w:hAnsi="Times New Roman" w:cs="Times New Roman"/>
          <w:i/>
          <w:sz w:val="24"/>
        </w:rPr>
        <w:t>.</w:t>
      </w:r>
      <w:r w:rsidR="003957DA" w:rsidRPr="00316F0B">
        <w:rPr>
          <w:rFonts w:ascii="Times New Roman" w:eastAsia="Arial Unicode MS" w:hAnsi="Times New Roman" w:cs="Times New Roman"/>
          <w:i/>
          <w:sz w:val="24"/>
        </w:rPr>
        <w:t>jū</w:t>
      </w:r>
      <w:r w:rsidR="00FC1183" w:rsidRPr="00316F0B">
        <w:rPr>
          <w:rFonts w:ascii="Times New Roman" w:eastAsia="Arial Unicode MS" w:hAnsi="Times New Roman" w:cs="Times New Roman"/>
          <w:i/>
          <w:sz w:val="24"/>
        </w:rPr>
        <w:t>l</w:t>
      </w:r>
      <w:r w:rsidRPr="00316F0B">
        <w:rPr>
          <w:rFonts w:ascii="Times New Roman" w:eastAsia="Arial Unicode MS" w:hAnsi="Times New Roman" w:cs="Times New Roman"/>
          <w:i/>
          <w:sz w:val="24"/>
        </w:rPr>
        <w:t>ija</w:t>
      </w:r>
      <w:r w:rsidRPr="001A3CAD">
        <w:rPr>
          <w:rFonts w:ascii="Times New Roman" w:eastAsia="Arial Unicode MS" w:hAnsi="Times New Roman" w:cs="Times New Roman"/>
          <w:i/>
          <w:sz w:val="24"/>
        </w:rPr>
        <w:t xml:space="preserve"> </w:t>
      </w:r>
    </w:p>
    <w:p w14:paraId="2E173747" w14:textId="6806B49A"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eastAsia="Arial Unicode MS" w:hAnsi="Times New Roman" w:cs="Times New Roman"/>
          <w:i/>
          <w:sz w:val="24"/>
        </w:rPr>
        <w:t>sēdes protokolu Nr.</w:t>
      </w:r>
      <w:r w:rsidR="00EB5CD6">
        <w:rPr>
          <w:rFonts w:ascii="Times New Roman" w:eastAsia="Arial Unicode MS" w:hAnsi="Times New Roman" w:cs="Times New Roman"/>
          <w:i/>
          <w:sz w:val="24"/>
        </w:rPr>
        <w:t>9</w:t>
      </w:r>
    </w:p>
    <w:p w14:paraId="459A035F" w14:textId="77777777" w:rsidR="001A3CAD" w:rsidRPr="001A3CAD" w:rsidRDefault="001A3CAD" w:rsidP="002F4012">
      <w:pPr>
        <w:tabs>
          <w:tab w:val="left" w:pos="3760"/>
        </w:tabs>
        <w:ind w:right="282"/>
        <w:jc w:val="both"/>
        <w:rPr>
          <w:rFonts w:ascii="Times New Roman" w:hAnsi="Times New Roman" w:cs="Times New Roman"/>
          <w:b/>
          <w:sz w:val="24"/>
          <w:szCs w:val="24"/>
        </w:rPr>
      </w:pPr>
    </w:p>
    <w:p w14:paraId="4F826C34" w14:textId="77777777" w:rsidR="003957DA" w:rsidRPr="003957DA" w:rsidRDefault="003957DA" w:rsidP="00445D89">
      <w:pPr>
        <w:jc w:val="center"/>
        <w:rPr>
          <w:rFonts w:ascii="Times New Roman" w:eastAsia="Times New Roman" w:hAnsi="Times New Roman" w:cs="Times New Roman"/>
          <w:b/>
          <w:sz w:val="24"/>
          <w:szCs w:val="20"/>
          <w:lang w:eastAsia="en-US"/>
        </w:rPr>
      </w:pPr>
      <w:r w:rsidRPr="003957DA">
        <w:rPr>
          <w:rFonts w:ascii="Times New Roman" w:eastAsia="Times New Roman" w:hAnsi="Times New Roman" w:cs="Times New Roman"/>
          <w:b/>
          <w:sz w:val="24"/>
          <w:szCs w:val="20"/>
          <w:lang w:eastAsia="en-US"/>
        </w:rPr>
        <w:t>VAS “Latvijas dzelzceļš” organizētā</w:t>
      </w:r>
    </w:p>
    <w:p w14:paraId="799BC48B" w14:textId="2FE54FA4" w:rsidR="00CD0BEE" w:rsidRPr="00CD0BEE" w:rsidRDefault="00CD0BEE" w:rsidP="00CD0BEE">
      <w:pPr>
        <w:ind w:left="142" w:right="-1"/>
        <w:jc w:val="center"/>
        <w:rPr>
          <w:rFonts w:ascii="Times New Roman" w:eastAsia="Times New Roman" w:hAnsi="Times New Roman" w:cs="Times New Roman"/>
          <w:b/>
          <w:sz w:val="24"/>
          <w:szCs w:val="24"/>
          <w:lang w:eastAsia="en-US"/>
        </w:rPr>
      </w:pPr>
      <w:r w:rsidRPr="00CD0BEE">
        <w:rPr>
          <w:rFonts w:ascii="Times New Roman" w:eastAsia="Times New Roman" w:hAnsi="Times New Roman" w:cs="Times New Roman"/>
          <w:b/>
          <w:sz w:val="24"/>
          <w:szCs w:val="24"/>
          <w:lang w:eastAsia="en-US"/>
        </w:rPr>
        <w:t>sarunu procedūra ar publikāciju</w:t>
      </w:r>
    </w:p>
    <w:p w14:paraId="7AE0C07C" w14:textId="67CFF48A" w:rsidR="001A3CAD" w:rsidRPr="001A3CAD" w:rsidRDefault="00CD0BEE" w:rsidP="00CD0BEE">
      <w:pPr>
        <w:ind w:left="284" w:right="-1"/>
        <w:jc w:val="center"/>
        <w:rPr>
          <w:rFonts w:ascii="Times New Roman" w:hAnsi="Times New Roman" w:cs="Times New Roman"/>
          <w:sz w:val="24"/>
        </w:rPr>
      </w:pPr>
      <w:r w:rsidRPr="00CD0BEE">
        <w:rPr>
          <w:rFonts w:ascii="Times New Roman" w:eastAsia="Times New Roman" w:hAnsi="Times New Roman" w:cs="Times New Roman"/>
          <w:b/>
          <w:sz w:val="24"/>
          <w:szCs w:val="24"/>
          <w:lang w:eastAsia="en-US"/>
        </w:rPr>
        <w:t>„Stacijas Rēzekne 2 parka apgaismojuma modernizācija”</w:t>
      </w:r>
    </w:p>
    <w:p w14:paraId="39563D2B" w14:textId="243E5F23" w:rsidR="005758A8" w:rsidRDefault="001A3CAD" w:rsidP="00CD0BEE">
      <w:pPr>
        <w:ind w:left="284" w:right="282"/>
        <w:jc w:val="center"/>
        <w:rPr>
          <w:rFonts w:ascii="Times New Roman" w:hAnsi="Times New Roman" w:cs="Times New Roman"/>
          <w:b/>
          <w:sz w:val="24"/>
        </w:rPr>
      </w:pPr>
      <w:r w:rsidRPr="001A3CAD">
        <w:rPr>
          <w:rFonts w:ascii="Times New Roman" w:hAnsi="Times New Roman" w:cs="Times New Roman"/>
          <w:b/>
          <w:sz w:val="24"/>
        </w:rPr>
        <w:t>SKAIDROJUMS Nr.</w:t>
      </w:r>
      <w:r w:rsidR="00FD2BE8">
        <w:rPr>
          <w:rFonts w:ascii="Times New Roman" w:hAnsi="Times New Roman" w:cs="Times New Roman"/>
          <w:b/>
          <w:sz w:val="24"/>
        </w:rPr>
        <w:t>8</w:t>
      </w:r>
    </w:p>
    <w:p w14:paraId="79AF0EDA" w14:textId="56AD47B0" w:rsidR="002E107A" w:rsidRDefault="002E107A" w:rsidP="005758A8">
      <w:pPr>
        <w:ind w:left="-284" w:right="282"/>
        <w:jc w:val="center"/>
        <w:rPr>
          <w:rFonts w:ascii="Times New Roman" w:hAnsi="Times New Roman" w:cs="Times New Roman"/>
          <w:b/>
          <w:sz w:val="24"/>
        </w:rPr>
      </w:pPr>
    </w:p>
    <w:tbl>
      <w:tblPr>
        <w:tblStyle w:val="TableGrid"/>
        <w:tblW w:w="9628" w:type="dxa"/>
        <w:jc w:val="center"/>
        <w:tblLayout w:type="fixed"/>
        <w:tblLook w:val="04A0" w:firstRow="1" w:lastRow="0" w:firstColumn="1" w:lastColumn="0" w:noHBand="0" w:noVBand="1"/>
      </w:tblPr>
      <w:tblGrid>
        <w:gridCol w:w="847"/>
        <w:gridCol w:w="4393"/>
        <w:gridCol w:w="4388"/>
      </w:tblGrid>
      <w:tr w:rsidR="004D6653" w:rsidRPr="00C351C9" w14:paraId="34627F17" w14:textId="77777777" w:rsidTr="00744AA7">
        <w:trPr>
          <w:jc w:val="center"/>
        </w:trPr>
        <w:tc>
          <w:tcPr>
            <w:tcW w:w="847" w:type="dxa"/>
            <w:shd w:val="clear" w:color="auto" w:fill="FFF2CC"/>
          </w:tcPr>
          <w:p w14:paraId="265E4C18" w14:textId="251EAD50" w:rsidR="004D6653" w:rsidRPr="004D6653" w:rsidRDefault="004D6653" w:rsidP="00C351C9">
            <w:pPr>
              <w:jc w:val="center"/>
              <w:rPr>
                <w:rFonts w:ascii="Times New Roman" w:eastAsia="Calibri" w:hAnsi="Times New Roman" w:cs="Times New Roman"/>
                <w:szCs w:val="24"/>
                <w:lang w:eastAsia="en-US"/>
              </w:rPr>
            </w:pPr>
            <w:proofErr w:type="spellStart"/>
            <w:r>
              <w:rPr>
                <w:rFonts w:ascii="Times New Roman" w:eastAsia="Calibri" w:hAnsi="Times New Roman" w:cs="Times New Roman"/>
                <w:szCs w:val="24"/>
                <w:lang w:eastAsia="en-US"/>
              </w:rPr>
              <w:t>Nr.p.k</w:t>
            </w:r>
            <w:proofErr w:type="spellEnd"/>
            <w:r>
              <w:rPr>
                <w:rFonts w:ascii="Times New Roman" w:eastAsia="Calibri" w:hAnsi="Times New Roman" w:cs="Times New Roman"/>
                <w:szCs w:val="24"/>
                <w:lang w:eastAsia="en-US"/>
              </w:rPr>
              <w:t>.</w:t>
            </w:r>
          </w:p>
        </w:tc>
        <w:tc>
          <w:tcPr>
            <w:tcW w:w="4393" w:type="dxa"/>
            <w:shd w:val="clear" w:color="auto" w:fill="FFF2CC"/>
          </w:tcPr>
          <w:p w14:paraId="04EA2A0E" w14:textId="62426B83"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Jautājum</w:t>
            </w:r>
            <w:r w:rsidR="00C67481">
              <w:rPr>
                <w:rFonts w:ascii="Times New Roman" w:eastAsia="Calibri" w:hAnsi="Times New Roman" w:cs="Times New Roman"/>
                <w:i/>
                <w:szCs w:val="24"/>
                <w:lang w:eastAsia="en-US"/>
              </w:rPr>
              <w:t>s</w:t>
            </w:r>
          </w:p>
        </w:tc>
        <w:tc>
          <w:tcPr>
            <w:tcW w:w="4388" w:type="dxa"/>
            <w:shd w:val="clear" w:color="auto" w:fill="FFF2CC" w:themeFill="accent4" w:themeFillTint="33"/>
          </w:tcPr>
          <w:p w14:paraId="265C0CC4" w14:textId="292375C8"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Atbilde</w:t>
            </w:r>
          </w:p>
        </w:tc>
      </w:tr>
      <w:tr w:rsidR="004D6653" w:rsidRPr="00C351C9" w14:paraId="7643F167" w14:textId="77777777" w:rsidTr="00744AA7">
        <w:trPr>
          <w:jc w:val="center"/>
        </w:trPr>
        <w:tc>
          <w:tcPr>
            <w:tcW w:w="847" w:type="dxa"/>
            <w:shd w:val="clear" w:color="auto" w:fill="DCFDD7"/>
          </w:tcPr>
          <w:p w14:paraId="4F398325" w14:textId="77777777" w:rsidR="004D6653" w:rsidRDefault="004D6653" w:rsidP="00C351C9">
            <w:pPr>
              <w:jc w:val="center"/>
              <w:rPr>
                <w:rFonts w:ascii="Times New Roman" w:eastAsia="Calibri" w:hAnsi="Times New Roman" w:cs="Times New Roman"/>
                <w:szCs w:val="24"/>
                <w:lang w:eastAsia="en-US"/>
              </w:rPr>
            </w:pPr>
          </w:p>
        </w:tc>
        <w:tc>
          <w:tcPr>
            <w:tcW w:w="4393" w:type="dxa"/>
            <w:shd w:val="clear" w:color="auto" w:fill="DCFDD7"/>
          </w:tcPr>
          <w:p w14:paraId="41B25E90" w14:textId="7DB26F7E" w:rsidR="004D6653" w:rsidRPr="00C351C9" w:rsidRDefault="00EB5CD6"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1</w:t>
            </w:r>
            <w:r w:rsidR="00FC1183">
              <w:rPr>
                <w:rFonts w:ascii="Times New Roman" w:eastAsia="Calibri" w:hAnsi="Times New Roman" w:cs="Times New Roman"/>
                <w:szCs w:val="24"/>
                <w:lang w:eastAsia="en-US"/>
              </w:rPr>
              <w:t>0</w:t>
            </w:r>
            <w:r w:rsidR="004D6653" w:rsidRPr="00C351C9">
              <w:rPr>
                <w:rFonts w:ascii="Times New Roman" w:eastAsia="Calibri" w:hAnsi="Times New Roman" w:cs="Times New Roman"/>
                <w:szCs w:val="24"/>
                <w:lang w:eastAsia="en-US"/>
              </w:rPr>
              <w:t>.0</w:t>
            </w:r>
            <w:r w:rsidR="00FC1183">
              <w:rPr>
                <w:rFonts w:ascii="Times New Roman" w:eastAsia="Calibri" w:hAnsi="Times New Roman" w:cs="Times New Roman"/>
                <w:szCs w:val="24"/>
                <w:lang w:eastAsia="en-US"/>
              </w:rPr>
              <w:t>7</w:t>
            </w:r>
            <w:r w:rsidR="004D6653" w:rsidRPr="00C351C9">
              <w:rPr>
                <w:rFonts w:ascii="Times New Roman" w:eastAsia="Calibri" w:hAnsi="Times New Roman" w:cs="Times New Roman"/>
                <w:szCs w:val="24"/>
                <w:lang w:eastAsia="en-US"/>
              </w:rPr>
              <w:t>.201</w:t>
            </w:r>
            <w:r w:rsidR="004D6653">
              <w:rPr>
                <w:rFonts w:ascii="Times New Roman" w:eastAsia="Calibri" w:hAnsi="Times New Roman" w:cs="Times New Roman"/>
                <w:szCs w:val="24"/>
                <w:lang w:eastAsia="en-US"/>
              </w:rPr>
              <w:t>9</w:t>
            </w:r>
            <w:r w:rsidR="004D6653" w:rsidRPr="00C351C9">
              <w:rPr>
                <w:rFonts w:ascii="Times New Roman" w:eastAsia="Calibri" w:hAnsi="Times New Roman" w:cs="Times New Roman"/>
                <w:szCs w:val="24"/>
                <w:lang w:eastAsia="en-US"/>
              </w:rPr>
              <w:t>.</w:t>
            </w:r>
          </w:p>
        </w:tc>
        <w:tc>
          <w:tcPr>
            <w:tcW w:w="4388" w:type="dxa"/>
            <w:shd w:val="clear" w:color="auto" w:fill="DCFDD7"/>
          </w:tcPr>
          <w:p w14:paraId="72E27F8B" w14:textId="0399C6D2" w:rsidR="004D6653" w:rsidRPr="006B5391" w:rsidRDefault="00131652"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1</w:t>
            </w:r>
            <w:r w:rsidR="005E2E1B">
              <w:rPr>
                <w:rFonts w:ascii="Times New Roman" w:eastAsia="Calibri" w:hAnsi="Times New Roman" w:cs="Times New Roman"/>
                <w:szCs w:val="24"/>
                <w:lang w:eastAsia="en-US"/>
              </w:rPr>
              <w:t>2</w:t>
            </w:r>
            <w:r w:rsidR="004D6653" w:rsidRPr="00316F0B">
              <w:rPr>
                <w:rFonts w:ascii="Times New Roman" w:eastAsia="Calibri" w:hAnsi="Times New Roman" w:cs="Times New Roman"/>
                <w:szCs w:val="24"/>
                <w:lang w:eastAsia="en-US"/>
              </w:rPr>
              <w:t>.0</w:t>
            </w:r>
            <w:r w:rsidR="00FC1183" w:rsidRPr="00316F0B">
              <w:rPr>
                <w:rFonts w:ascii="Times New Roman" w:eastAsia="Calibri" w:hAnsi="Times New Roman" w:cs="Times New Roman"/>
                <w:szCs w:val="24"/>
                <w:lang w:eastAsia="en-US"/>
              </w:rPr>
              <w:t>7</w:t>
            </w:r>
            <w:r w:rsidR="004D6653" w:rsidRPr="00316F0B">
              <w:rPr>
                <w:rFonts w:ascii="Times New Roman" w:eastAsia="Calibri" w:hAnsi="Times New Roman" w:cs="Times New Roman"/>
                <w:szCs w:val="24"/>
                <w:lang w:eastAsia="en-US"/>
              </w:rPr>
              <w:t>.2019.</w:t>
            </w:r>
          </w:p>
        </w:tc>
      </w:tr>
      <w:tr w:rsidR="004D6653" w:rsidRPr="00C351C9" w14:paraId="5B3EACE4" w14:textId="77777777" w:rsidTr="00744AA7">
        <w:trPr>
          <w:jc w:val="center"/>
        </w:trPr>
        <w:tc>
          <w:tcPr>
            <w:tcW w:w="847" w:type="dxa"/>
          </w:tcPr>
          <w:p w14:paraId="117DF506" w14:textId="0FE00FEE" w:rsidR="004D6653" w:rsidRPr="00E74F21" w:rsidRDefault="004D6653" w:rsidP="004D6653">
            <w:pPr>
              <w:pStyle w:val="ListParagraph"/>
              <w:ind w:left="0" w:right="282"/>
              <w:jc w:val="center"/>
              <w:rPr>
                <w:rFonts w:ascii="Times New Roman" w:hAnsi="Times New Roman" w:cs="Times New Roman"/>
                <w:b/>
              </w:rPr>
            </w:pPr>
            <w:r w:rsidRPr="00E74F21">
              <w:rPr>
                <w:rFonts w:ascii="Times New Roman" w:hAnsi="Times New Roman" w:cs="Times New Roman"/>
                <w:b/>
              </w:rPr>
              <w:t>1.</w:t>
            </w:r>
          </w:p>
        </w:tc>
        <w:tc>
          <w:tcPr>
            <w:tcW w:w="4393" w:type="dxa"/>
          </w:tcPr>
          <w:p w14:paraId="39FFA735" w14:textId="5076CBEB" w:rsidR="003E7A86" w:rsidRDefault="003E7A86" w:rsidP="003E7A86">
            <w:pPr>
              <w:rPr>
                <w:rFonts w:ascii="Times New Roman" w:hAnsi="Times New Roman" w:cs="Times New Roman"/>
              </w:rPr>
            </w:pPr>
            <w:r w:rsidRPr="003E7A86">
              <w:rPr>
                <w:rFonts w:ascii="Times New Roman" w:hAnsi="Times New Roman" w:cs="Times New Roman"/>
              </w:rPr>
              <w:t>1.</w:t>
            </w:r>
            <w:r w:rsidRPr="003E7A86">
              <w:rPr>
                <w:rFonts w:ascii="Times New Roman" w:hAnsi="Times New Roman" w:cs="Times New Roman"/>
              </w:rPr>
              <w:tab/>
              <w:t>Iepazīstoties ar Sarunu procedūras nolikumu un tai pievienotajiem pielikumiem konstatējam, ka Sarunu procedūras 1.6.3. un 1.10.punktos un līguma projekta 8.punktā ir ietverta prasība piedāvājuma un līguma izpildes nodrošinājumu iesniegt tikai kā pretendenta naudas summas iemaksu pasūtītāja bankas kontā, neparedzot iespēju iesniegt analoģisku nodrošinājumu, ko izsniedz Latvijā atzītas apdrošināšanas sabiedrības.</w:t>
            </w:r>
          </w:p>
          <w:p w14:paraId="7879CAF6" w14:textId="77777777" w:rsidR="00744AA7" w:rsidRPr="003E7A86" w:rsidRDefault="00744AA7" w:rsidP="003E7A86">
            <w:pPr>
              <w:rPr>
                <w:rFonts w:ascii="Times New Roman" w:hAnsi="Times New Roman" w:cs="Times New Roman"/>
              </w:rPr>
            </w:pPr>
          </w:p>
          <w:p w14:paraId="1FBE7D4A" w14:textId="736C4257" w:rsidR="003E7A86" w:rsidRDefault="003E7A86" w:rsidP="003E7A86">
            <w:pPr>
              <w:rPr>
                <w:rFonts w:ascii="Times New Roman" w:hAnsi="Times New Roman" w:cs="Times New Roman"/>
              </w:rPr>
            </w:pPr>
            <w:r w:rsidRPr="003E7A86">
              <w:rPr>
                <w:rFonts w:ascii="Times New Roman" w:hAnsi="Times New Roman" w:cs="Times New Roman"/>
              </w:rPr>
              <w:t>2.</w:t>
            </w:r>
            <w:r w:rsidRPr="003E7A86">
              <w:rPr>
                <w:rFonts w:ascii="Times New Roman" w:hAnsi="Times New Roman" w:cs="Times New Roman"/>
              </w:rPr>
              <w:tab/>
              <w:t xml:space="preserve">Gribam vērst Jūsu uzmanību, ka VAS “Latvijas dzelzceļš”  Sarunu procedūras 1.6.3. un 1.10.punktos un līguma projekta 8.punktā ietvertā prasība, paredzot tikai pretendenta naudas summas iemaksu pasūtītāja bankas kontā kā piedāvājuma un līguma izpildes nodrošinājumu, neparedzot iespēju iesniegt uzņēmējam iesniegt juridiskā spēka un satura ziņā līdzvērtīgu Latvijā darbojošās apdrošināšanas kompānijas izsniegtu nodrošinājums ir nepamatota un neatļauta rīcība, jo neatbilst spēkā esošajai un iedibinātajai praksei (skat. Iepirkumu uzraudzības biroja, turpmāk tekstā “IUB”, 2014.gada 04.aprīļa lēmumu lietā Nr.4-2.2/14-7), kā arī ir atzīta, kā konkurenci ierobežojoša prasība. Tā piemēram IUB ir atzinis, ka ņemot vērā, ka arī apdrošināšanas polisi var izsniegt kā beznosacījuma galvojumu (t.i., paredzot, ka nodrošinājuma devējs izmaksā nodrošinājumā paredzēto summu pēc pirmā pieprasījuma, skat., piemēram, IUB mājaslapā publicēto Latvijas Apdrošinātāju </w:t>
            </w:r>
            <w:r w:rsidRPr="003E7A86">
              <w:rPr>
                <w:rFonts w:ascii="Times New Roman" w:hAnsi="Times New Roman" w:cs="Times New Roman"/>
              </w:rPr>
              <w:lastRenderedPageBreak/>
              <w:t>asociācijas skaidrojošo informāciju un ieteikumus publiskajiem galvojumu apdrošināšanas iepirkumiem http://www.iub.gov.lv/files/upload/Ieteik_IUB_galvojumu_apdr_20140116.pdf), kura iestāšanās gadījumā sabiedrisko pakalpojumu sniedzējam tiek izmaksāta apdrošināšanas atlīdzībā paredzētā summa, iesniegumu izskatīšanas komisijas ieskatā nav pamata uzskatīt, ka apdrošināšanas polise nevar būt viens no piedāvājuma nodrošinājuma un saistību izpildes nodrošinājuma veidiem.</w:t>
            </w:r>
          </w:p>
          <w:p w14:paraId="1B39F0EE" w14:textId="77777777" w:rsidR="00744AA7" w:rsidRPr="003E7A86" w:rsidRDefault="00744AA7" w:rsidP="003E7A86">
            <w:pPr>
              <w:rPr>
                <w:rFonts w:ascii="Times New Roman" w:hAnsi="Times New Roman" w:cs="Times New Roman"/>
              </w:rPr>
            </w:pPr>
          </w:p>
          <w:p w14:paraId="4DDEB339" w14:textId="18DC8E8A" w:rsidR="003E7A86" w:rsidRDefault="003E7A86" w:rsidP="003E7A86">
            <w:pPr>
              <w:rPr>
                <w:rFonts w:ascii="Times New Roman" w:hAnsi="Times New Roman" w:cs="Times New Roman"/>
              </w:rPr>
            </w:pPr>
            <w:r w:rsidRPr="003E7A86">
              <w:rPr>
                <w:rFonts w:ascii="Times New Roman" w:hAnsi="Times New Roman" w:cs="Times New Roman"/>
              </w:rPr>
              <w:t>3.</w:t>
            </w:r>
            <w:r w:rsidRPr="003E7A86">
              <w:rPr>
                <w:rFonts w:ascii="Times New Roman" w:hAnsi="Times New Roman" w:cs="Times New Roman"/>
              </w:rPr>
              <w:tab/>
              <w:t>Savukārt attiecībā uz sabiedrisko pakalpojumu sniedzēja lietā Nr. 4-2.2/14-7 norādīto, ka, ja kā viens no piedāvājuma nodrošinājuma un saistību izpildes nodrošinājuma veidiem tik noteikta apdrošināšanas polise, tad tam palielinās tiesvedības riski, iesniegumu izskatīšanas komisija norādīja, ka neatkarīgi no tā, kādu piedāvājuma nodrošinājumu un saistību izpildes nodrošinājumu izvēlas pretendents, Sabiedrisko pakalpojumu sniedzējam pastāv tiesvedības riski, ja pretendenta ieskatā piedāvājuma nodrošinājums un saistību izpildes nodrošinājums tiktu ieturēts nepamatoti. Proti, iesniegumu izskatīšanas komisija nekonstatē, ka atkarībā no piedāvājuma nodrošinājuma un saistību izpildes nodrošinājuma veida Sabiedrisko pakalpojumu sniedzējam samazinātos kādi tiesvedības riski saistībā ar piedāvājuma nodrošinājuma un saistību izpildes nodrošinājuma ieturēšanu.</w:t>
            </w:r>
          </w:p>
          <w:p w14:paraId="605500D3" w14:textId="77777777" w:rsidR="00744AA7" w:rsidRPr="003E7A86" w:rsidRDefault="00744AA7" w:rsidP="003E7A86">
            <w:pPr>
              <w:rPr>
                <w:rFonts w:ascii="Times New Roman" w:hAnsi="Times New Roman" w:cs="Times New Roman"/>
              </w:rPr>
            </w:pPr>
          </w:p>
          <w:p w14:paraId="26471BAF" w14:textId="77777777" w:rsidR="00D64456" w:rsidRDefault="003E7A86" w:rsidP="003E7A86">
            <w:pPr>
              <w:rPr>
                <w:rFonts w:ascii="Times New Roman" w:hAnsi="Times New Roman" w:cs="Times New Roman"/>
              </w:rPr>
            </w:pPr>
            <w:r w:rsidRPr="003E7A86">
              <w:rPr>
                <w:rFonts w:ascii="Times New Roman" w:hAnsi="Times New Roman" w:cs="Times New Roman"/>
              </w:rPr>
              <w:t>4.</w:t>
            </w:r>
            <w:r w:rsidRPr="003E7A86">
              <w:rPr>
                <w:rFonts w:ascii="Times New Roman" w:hAnsi="Times New Roman" w:cs="Times New Roman"/>
              </w:rPr>
              <w:tab/>
              <w:t>Vadoties no visa augstāk minētā, lūdzu VAS “Latvijas Dzelzceļš” atzīt, ka par Sarunu procedūras piedāvājuma un līguma izpildes nodrošinājumu (garantiju) der arī juridiskā spēka un satura ziņā līdzvērtīgs saistību (t.sk. garantijas laika) nodrošinājums, ko izsniegusi Latvijā darbojošās apdrošināšanas kompānija, kā arī pagarināt piedāvājuma iesniegšanas termiņu līdz 2019.gada 1.augustam</w:t>
            </w:r>
            <w:r w:rsidR="00092B48">
              <w:rPr>
                <w:rFonts w:ascii="Times New Roman" w:hAnsi="Times New Roman" w:cs="Times New Roman"/>
              </w:rPr>
              <w:t>.</w:t>
            </w:r>
          </w:p>
          <w:p w14:paraId="719CCAF6" w14:textId="77777777" w:rsidR="004C0953" w:rsidRDefault="004C0953" w:rsidP="003E7A86">
            <w:pPr>
              <w:rPr>
                <w:rFonts w:ascii="Times New Roman" w:hAnsi="Times New Roman" w:cs="Times New Roman"/>
              </w:rPr>
            </w:pPr>
          </w:p>
          <w:p w14:paraId="2790EAA4" w14:textId="10FDBF33" w:rsidR="004C0953" w:rsidRPr="00C351C9" w:rsidRDefault="004C0953" w:rsidP="003E7A86">
            <w:pPr>
              <w:rPr>
                <w:rFonts w:ascii="Times New Roman" w:hAnsi="Times New Roman" w:cs="Times New Roman"/>
              </w:rPr>
            </w:pPr>
          </w:p>
        </w:tc>
        <w:tc>
          <w:tcPr>
            <w:tcW w:w="4388" w:type="dxa"/>
          </w:tcPr>
          <w:p w14:paraId="7266F12A" w14:textId="1E906E5E" w:rsidR="005C0CD6" w:rsidRDefault="00003807" w:rsidP="001258E1">
            <w:pPr>
              <w:rPr>
                <w:rFonts w:ascii="Times New Roman" w:eastAsia="Calibri" w:hAnsi="Times New Roman" w:cs="Times New Roman"/>
                <w:szCs w:val="24"/>
                <w:lang w:eastAsia="en-US"/>
              </w:rPr>
            </w:pPr>
            <w:r>
              <w:rPr>
                <w:rFonts w:ascii="Times New Roman" w:eastAsia="Calibri" w:hAnsi="Times New Roman" w:cs="Times New Roman"/>
                <w:szCs w:val="24"/>
                <w:lang w:eastAsia="en-US"/>
              </w:rPr>
              <w:lastRenderedPageBreak/>
              <w:t>Darām zināmu, ka konkrētā iepirkuma procedūra - sarunu procedūra ar publikāciju “</w:t>
            </w:r>
            <w:r w:rsidRPr="00003807">
              <w:rPr>
                <w:rFonts w:ascii="Times New Roman" w:eastAsia="Calibri" w:hAnsi="Times New Roman" w:cs="Times New Roman"/>
                <w:szCs w:val="24"/>
                <w:lang w:eastAsia="en-US"/>
              </w:rPr>
              <w:t>Stacijas Rēzekne 2 parka apgaismojuma modernizācija”</w:t>
            </w:r>
            <w:r>
              <w:rPr>
                <w:rFonts w:ascii="Times New Roman" w:eastAsia="Calibri" w:hAnsi="Times New Roman" w:cs="Times New Roman"/>
                <w:szCs w:val="24"/>
                <w:lang w:eastAsia="en-US"/>
              </w:rPr>
              <w:t xml:space="preserve"> </w:t>
            </w:r>
            <w:r w:rsidR="00AF5E4B">
              <w:rPr>
                <w:rFonts w:ascii="Times New Roman" w:eastAsia="Calibri" w:hAnsi="Times New Roman" w:cs="Times New Roman"/>
                <w:szCs w:val="24"/>
                <w:lang w:eastAsia="en-US"/>
              </w:rPr>
              <w:t xml:space="preserve">(turpmāk – Sarunu procedūra) </w:t>
            </w:r>
            <w:r>
              <w:rPr>
                <w:rFonts w:ascii="Times New Roman" w:eastAsia="Calibri" w:hAnsi="Times New Roman" w:cs="Times New Roman"/>
                <w:szCs w:val="24"/>
                <w:lang w:eastAsia="en-US"/>
              </w:rPr>
              <w:t xml:space="preserve">ir </w:t>
            </w:r>
            <w:proofErr w:type="spellStart"/>
            <w:r>
              <w:rPr>
                <w:rFonts w:ascii="Times New Roman" w:eastAsia="Calibri" w:hAnsi="Times New Roman" w:cs="Times New Roman"/>
                <w:szCs w:val="24"/>
                <w:lang w:eastAsia="en-US"/>
              </w:rPr>
              <w:t>zemsliekšņa</w:t>
            </w:r>
            <w:proofErr w:type="spellEnd"/>
            <w:r>
              <w:rPr>
                <w:rFonts w:ascii="Times New Roman" w:eastAsia="Calibri" w:hAnsi="Times New Roman" w:cs="Times New Roman"/>
                <w:szCs w:val="24"/>
                <w:lang w:eastAsia="en-US"/>
              </w:rPr>
              <w:t xml:space="preserve"> procedūra, kura nav jāveic saskaņā ar visiem Sabiedrisko pakalpojumu sniedzēju iepirkumu likuma </w:t>
            </w:r>
            <w:r w:rsidR="00AF5E4B">
              <w:rPr>
                <w:rFonts w:ascii="Times New Roman" w:eastAsia="Calibri" w:hAnsi="Times New Roman" w:cs="Times New Roman"/>
                <w:szCs w:val="24"/>
                <w:lang w:eastAsia="en-US"/>
              </w:rPr>
              <w:t xml:space="preserve">(turpmāk – SPSIL) </w:t>
            </w:r>
            <w:r>
              <w:rPr>
                <w:rFonts w:ascii="Times New Roman" w:eastAsia="Calibri" w:hAnsi="Times New Roman" w:cs="Times New Roman"/>
                <w:szCs w:val="24"/>
                <w:lang w:eastAsia="en-US"/>
              </w:rPr>
              <w:t>noteikumiem. Tomēr, lai arī VAS “Latvijas dzelzceļš”</w:t>
            </w:r>
            <w:r w:rsidR="00AF5E4B">
              <w:rPr>
                <w:rFonts w:ascii="Times New Roman" w:eastAsia="Calibri" w:hAnsi="Times New Roman" w:cs="Times New Roman"/>
                <w:szCs w:val="24"/>
                <w:lang w:eastAsia="en-US"/>
              </w:rPr>
              <w:t xml:space="preserve"> (turpmāk – LDZ)</w:t>
            </w:r>
            <w:r>
              <w:rPr>
                <w:rFonts w:ascii="Times New Roman" w:eastAsia="Calibri" w:hAnsi="Times New Roman" w:cs="Times New Roman"/>
                <w:szCs w:val="24"/>
                <w:lang w:eastAsia="en-US"/>
              </w:rPr>
              <w:t xml:space="preserve"> </w:t>
            </w:r>
            <w:r w:rsidR="00AF5E4B">
              <w:rPr>
                <w:rFonts w:ascii="Times New Roman" w:eastAsia="Calibri" w:hAnsi="Times New Roman" w:cs="Times New Roman"/>
                <w:szCs w:val="24"/>
                <w:lang w:eastAsia="en-US"/>
              </w:rPr>
              <w:t xml:space="preserve">iepirkumus veic, ievērojot daudzus SPSIL noteikumus, LDZ ir tiesības izvirzīt tādas prasības, kuru </w:t>
            </w:r>
            <w:r w:rsidR="00AF5E4B" w:rsidRPr="00AF5E4B">
              <w:rPr>
                <w:rFonts w:ascii="Times New Roman" w:eastAsia="Calibri" w:hAnsi="Times New Roman" w:cs="Times New Roman"/>
                <w:b/>
                <w:szCs w:val="24"/>
                <w:u w:val="single"/>
                <w:lang w:eastAsia="en-US"/>
              </w:rPr>
              <w:t>operatīva</w:t>
            </w:r>
            <w:r w:rsidR="00AF5E4B">
              <w:rPr>
                <w:rFonts w:ascii="Times New Roman" w:eastAsia="Calibri" w:hAnsi="Times New Roman" w:cs="Times New Roman"/>
                <w:b/>
                <w:szCs w:val="24"/>
                <w:u w:val="single"/>
                <w:lang w:eastAsia="en-US"/>
              </w:rPr>
              <w:t xml:space="preserve">, </w:t>
            </w:r>
            <w:r w:rsidR="00AF5E4B" w:rsidRPr="00AF5E4B">
              <w:rPr>
                <w:rFonts w:ascii="Times New Roman" w:eastAsia="Calibri" w:hAnsi="Times New Roman" w:cs="Times New Roman"/>
                <w:b/>
                <w:szCs w:val="24"/>
                <w:u w:val="single"/>
                <w:lang w:eastAsia="en-US"/>
              </w:rPr>
              <w:t>nekavējoša</w:t>
            </w:r>
            <w:r w:rsidR="00AF5E4B">
              <w:rPr>
                <w:rFonts w:ascii="Times New Roman" w:eastAsia="Calibri" w:hAnsi="Times New Roman" w:cs="Times New Roman"/>
                <w:szCs w:val="24"/>
                <w:lang w:eastAsia="en-US"/>
              </w:rPr>
              <w:t xml:space="preserve"> pārbaude un īstenošana neapgrūtina LDZ rīcību. </w:t>
            </w:r>
          </w:p>
          <w:p w14:paraId="6F761F06" w14:textId="77777777" w:rsidR="00AF5E4B" w:rsidRDefault="00AF5E4B" w:rsidP="001258E1">
            <w:pPr>
              <w:rPr>
                <w:rFonts w:ascii="Times New Roman" w:eastAsia="Calibri" w:hAnsi="Times New Roman" w:cs="Times New Roman"/>
                <w:szCs w:val="24"/>
                <w:lang w:eastAsia="en-US"/>
              </w:rPr>
            </w:pPr>
          </w:p>
          <w:p w14:paraId="0F9BD438" w14:textId="4C9E012F" w:rsidR="00AF5E4B" w:rsidRDefault="00AF5E4B" w:rsidP="001258E1">
            <w:pPr>
              <w:rPr>
                <w:rFonts w:ascii="Times New Roman" w:eastAsia="Calibri" w:hAnsi="Times New Roman" w:cs="Times New Roman"/>
                <w:szCs w:val="24"/>
                <w:lang w:eastAsia="en-US"/>
              </w:rPr>
            </w:pPr>
            <w:r>
              <w:rPr>
                <w:rFonts w:ascii="Times New Roman" w:eastAsia="Calibri" w:hAnsi="Times New Roman" w:cs="Times New Roman"/>
                <w:szCs w:val="24"/>
                <w:lang w:eastAsia="en-US"/>
              </w:rPr>
              <w:t xml:space="preserve">Norādām, ka Sarunu procedūras nolikuma 1.6.3. un 1.10.punktos ietvertā prasība paredz piedāvājuma nodrošinājuma iesniegšanu kā naudas summas iemaksu LDZ bankas kontā, taču, ja pretendents kopā ar piedāvājumu var iesniegt tādu </w:t>
            </w:r>
            <w:r w:rsidRPr="00AF5E4B">
              <w:rPr>
                <w:rFonts w:ascii="Times New Roman" w:eastAsia="Calibri" w:hAnsi="Times New Roman" w:cs="Times New Roman"/>
                <w:szCs w:val="24"/>
                <w:lang w:eastAsia="en-US"/>
              </w:rPr>
              <w:t>apdrošināšanas polisi</w:t>
            </w:r>
            <w:r>
              <w:rPr>
                <w:rFonts w:ascii="Times New Roman" w:eastAsia="Calibri" w:hAnsi="Times New Roman" w:cs="Times New Roman"/>
                <w:szCs w:val="24"/>
                <w:lang w:eastAsia="en-US"/>
              </w:rPr>
              <w:t xml:space="preserve"> </w:t>
            </w:r>
            <w:r w:rsidRPr="00AF5E4B">
              <w:rPr>
                <w:rFonts w:ascii="Times New Roman" w:eastAsia="Calibri" w:hAnsi="Times New Roman" w:cs="Times New Roman"/>
                <w:szCs w:val="24"/>
                <w:lang w:eastAsia="en-US"/>
              </w:rPr>
              <w:t>kā beznosacījuma galvojumu (t.i., paredzot, ka nodrošinājuma devējs izmaksā nodrošinājumā paredzēto summu pēc</w:t>
            </w:r>
            <w:r w:rsidR="00D9583C">
              <w:rPr>
                <w:rFonts w:ascii="Times New Roman" w:eastAsia="Calibri" w:hAnsi="Times New Roman" w:cs="Times New Roman"/>
                <w:szCs w:val="24"/>
                <w:lang w:eastAsia="en-US"/>
              </w:rPr>
              <w:t xml:space="preserve"> </w:t>
            </w:r>
            <w:r w:rsidRPr="00AF5E4B">
              <w:rPr>
                <w:rFonts w:ascii="Times New Roman" w:eastAsia="Calibri" w:hAnsi="Times New Roman" w:cs="Times New Roman"/>
                <w:szCs w:val="24"/>
                <w:lang w:eastAsia="en-US"/>
              </w:rPr>
              <w:t xml:space="preserve"> pirmā pieprasījuma</w:t>
            </w:r>
            <w:r>
              <w:rPr>
                <w:rFonts w:ascii="Times New Roman" w:eastAsia="Calibri" w:hAnsi="Times New Roman" w:cs="Times New Roman"/>
                <w:szCs w:val="24"/>
                <w:lang w:eastAsia="en-US"/>
              </w:rPr>
              <w:t>), tad pretendents netiks izslēgts no</w:t>
            </w:r>
            <w:r w:rsidR="00F01E52">
              <w:rPr>
                <w:rFonts w:ascii="Times New Roman" w:eastAsia="Calibri" w:hAnsi="Times New Roman" w:cs="Times New Roman"/>
                <w:szCs w:val="24"/>
                <w:lang w:eastAsia="en-US"/>
              </w:rPr>
              <w:t xml:space="preserve"> </w:t>
            </w:r>
            <w:r>
              <w:rPr>
                <w:rFonts w:ascii="Times New Roman" w:eastAsia="Calibri" w:hAnsi="Times New Roman" w:cs="Times New Roman"/>
                <w:szCs w:val="24"/>
                <w:lang w:eastAsia="en-US"/>
              </w:rPr>
              <w:t xml:space="preserve">dalības Sarunu procedūrā. </w:t>
            </w:r>
          </w:p>
          <w:p w14:paraId="22F76678" w14:textId="3259E68A" w:rsidR="00F01E52" w:rsidRDefault="00F01E52" w:rsidP="001258E1">
            <w:pPr>
              <w:rPr>
                <w:rFonts w:ascii="Times New Roman" w:eastAsia="Calibri" w:hAnsi="Times New Roman" w:cs="Times New Roman"/>
                <w:szCs w:val="24"/>
                <w:lang w:eastAsia="en-US"/>
              </w:rPr>
            </w:pPr>
            <w:r w:rsidRPr="00587352">
              <w:rPr>
                <w:rFonts w:ascii="Times New Roman" w:eastAsia="Calibri" w:hAnsi="Times New Roman" w:cs="Times New Roman"/>
                <w:szCs w:val="24"/>
                <w:lang w:eastAsia="en-US"/>
              </w:rPr>
              <w:t xml:space="preserve">Vienlaikus norādām, ka līguma projekta 8.1.punkts </w:t>
            </w:r>
            <w:r w:rsidR="00587352" w:rsidRPr="00587352">
              <w:rPr>
                <w:rFonts w:ascii="Times New Roman" w:eastAsia="Calibri" w:hAnsi="Times New Roman" w:cs="Times New Roman"/>
                <w:szCs w:val="24"/>
                <w:lang w:eastAsia="en-US"/>
              </w:rPr>
              <w:t>nosaka</w:t>
            </w:r>
            <w:r w:rsidRPr="00587352">
              <w:rPr>
                <w:rFonts w:ascii="Times New Roman" w:eastAsia="Calibri" w:hAnsi="Times New Roman" w:cs="Times New Roman"/>
                <w:szCs w:val="24"/>
                <w:lang w:eastAsia="en-US"/>
              </w:rPr>
              <w:t>, ka būvuzņēmējs līguma nodrošinājumu iesniedz</w:t>
            </w:r>
            <w:r>
              <w:rPr>
                <w:rFonts w:ascii="Times New Roman" w:eastAsia="Calibri" w:hAnsi="Times New Roman" w:cs="Times New Roman"/>
                <w:szCs w:val="24"/>
                <w:lang w:eastAsia="en-US"/>
              </w:rPr>
              <w:t xml:space="preserve"> kā kredītiestādes vai apdrošināšanas sabiedrības garantiju, vai veic naudas summas iemaksu Pasūtītāja bankas kontā.</w:t>
            </w:r>
          </w:p>
          <w:p w14:paraId="6EDF6D47" w14:textId="77777777" w:rsidR="00F01E52" w:rsidRDefault="00F01E52" w:rsidP="001258E1">
            <w:pPr>
              <w:rPr>
                <w:rFonts w:ascii="Times New Roman" w:eastAsia="Calibri" w:hAnsi="Times New Roman" w:cs="Times New Roman"/>
                <w:szCs w:val="24"/>
                <w:lang w:eastAsia="en-US"/>
              </w:rPr>
            </w:pPr>
          </w:p>
          <w:p w14:paraId="63269C15" w14:textId="29446B45" w:rsidR="00183613" w:rsidRPr="006B5391" w:rsidRDefault="00183613" w:rsidP="001258E1">
            <w:pPr>
              <w:rPr>
                <w:rFonts w:ascii="Times New Roman" w:eastAsia="Calibri" w:hAnsi="Times New Roman" w:cs="Times New Roman"/>
                <w:szCs w:val="24"/>
                <w:lang w:eastAsia="en-US"/>
              </w:rPr>
            </w:pPr>
            <w:r>
              <w:rPr>
                <w:rFonts w:ascii="Times New Roman" w:eastAsia="Calibri" w:hAnsi="Times New Roman" w:cs="Times New Roman"/>
                <w:szCs w:val="24"/>
                <w:lang w:eastAsia="en-US"/>
              </w:rPr>
              <w:t xml:space="preserve">Piedāvājumu iesniegšanas </w:t>
            </w:r>
            <w:r w:rsidRPr="005E2E1B">
              <w:rPr>
                <w:rFonts w:ascii="Times New Roman" w:eastAsia="Calibri" w:hAnsi="Times New Roman" w:cs="Times New Roman"/>
                <w:b/>
                <w:szCs w:val="24"/>
                <w:u w:val="single"/>
                <w:lang w:eastAsia="en-US"/>
              </w:rPr>
              <w:t>termiņš neti</w:t>
            </w:r>
            <w:r w:rsidR="00C87752" w:rsidRPr="005E2E1B">
              <w:rPr>
                <w:rFonts w:ascii="Times New Roman" w:eastAsia="Calibri" w:hAnsi="Times New Roman" w:cs="Times New Roman"/>
                <w:b/>
                <w:szCs w:val="24"/>
                <w:u w:val="single"/>
                <w:lang w:eastAsia="en-US"/>
              </w:rPr>
              <w:t>e</w:t>
            </w:r>
            <w:r w:rsidRPr="005E2E1B">
              <w:rPr>
                <w:rFonts w:ascii="Times New Roman" w:eastAsia="Calibri" w:hAnsi="Times New Roman" w:cs="Times New Roman"/>
                <w:b/>
                <w:szCs w:val="24"/>
                <w:u w:val="single"/>
                <w:lang w:eastAsia="en-US"/>
              </w:rPr>
              <w:t>k pagarināts.</w:t>
            </w:r>
          </w:p>
        </w:tc>
      </w:tr>
      <w:tr w:rsidR="002F67C9" w:rsidRPr="00C351C9" w14:paraId="7D8774A1" w14:textId="77777777" w:rsidTr="00744AA7">
        <w:trPr>
          <w:jc w:val="center"/>
        </w:trPr>
        <w:tc>
          <w:tcPr>
            <w:tcW w:w="847" w:type="dxa"/>
            <w:shd w:val="clear" w:color="auto" w:fill="DCFDD7"/>
          </w:tcPr>
          <w:p w14:paraId="0C320D93" w14:textId="61790DE7" w:rsidR="002F67C9" w:rsidRDefault="002F67C9" w:rsidP="002F67C9">
            <w:pPr>
              <w:pStyle w:val="ListParagraph"/>
              <w:ind w:left="0" w:right="282"/>
              <w:jc w:val="center"/>
              <w:rPr>
                <w:rFonts w:ascii="Times New Roman" w:hAnsi="Times New Roman" w:cs="Times New Roman"/>
                <w:b/>
              </w:rPr>
            </w:pPr>
          </w:p>
        </w:tc>
        <w:tc>
          <w:tcPr>
            <w:tcW w:w="4393" w:type="dxa"/>
            <w:shd w:val="clear" w:color="auto" w:fill="DCFDD7"/>
          </w:tcPr>
          <w:p w14:paraId="773F7CB7" w14:textId="6C594DAC" w:rsidR="002F67C9" w:rsidRPr="007F5B15" w:rsidRDefault="00EB5CD6" w:rsidP="002F67C9">
            <w:pPr>
              <w:jc w:val="center"/>
              <w:rPr>
                <w:rFonts w:ascii="Times New Roman" w:hAnsi="Times New Roman" w:cs="Times New Roman"/>
              </w:rPr>
            </w:pPr>
            <w:r>
              <w:rPr>
                <w:rFonts w:ascii="Times New Roman" w:eastAsia="Calibri" w:hAnsi="Times New Roman" w:cs="Times New Roman"/>
                <w:szCs w:val="24"/>
                <w:lang w:eastAsia="en-US"/>
              </w:rPr>
              <w:t>1</w:t>
            </w:r>
            <w:r w:rsidR="002F67C9">
              <w:rPr>
                <w:rFonts w:ascii="Times New Roman" w:eastAsia="Calibri" w:hAnsi="Times New Roman" w:cs="Times New Roman"/>
                <w:szCs w:val="24"/>
                <w:lang w:eastAsia="en-US"/>
              </w:rPr>
              <w:t>0</w:t>
            </w:r>
            <w:r w:rsidR="002F67C9" w:rsidRPr="00C351C9">
              <w:rPr>
                <w:rFonts w:ascii="Times New Roman" w:eastAsia="Calibri" w:hAnsi="Times New Roman" w:cs="Times New Roman"/>
                <w:szCs w:val="24"/>
                <w:lang w:eastAsia="en-US"/>
              </w:rPr>
              <w:t>.0</w:t>
            </w:r>
            <w:r w:rsidR="002F67C9">
              <w:rPr>
                <w:rFonts w:ascii="Times New Roman" w:eastAsia="Calibri" w:hAnsi="Times New Roman" w:cs="Times New Roman"/>
                <w:szCs w:val="24"/>
                <w:lang w:eastAsia="en-US"/>
              </w:rPr>
              <w:t>7</w:t>
            </w:r>
            <w:r w:rsidR="002F67C9" w:rsidRPr="00C351C9">
              <w:rPr>
                <w:rFonts w:ascii="Times New Roman" w:eastAsia="Calibri" w:hAnsi="Times New Roman" w:cs="Times New Roman"/>
                <w:szCs w:val="24"/>
                <w:lang w:eastAsia="en-US"/>
              </w:rPr>
              <w:t>.201</w:t>
            </w:r>
            <w:r w:rsidR="002F67C9">
              <w:rPr>
                <w:rFonts w:ascii="Times New Roman" w:eastAsia="Calibri" w:hAnsi="Times New Roman" w:cs="Times New Roman"/>
                <w:szCs w:val="24"/>
                <w:lang w:eastAsia="en-US"/>
              </w:rPr>
              <w:t>9</w:t>
            </w:r>
            <w:r w:rsidR="002F67C9" w:rsidRPr="00C351C9">
              <w:rPr>
                <w:rFonts w:ascii="Times New Roman" w:eastAsia="Calibri" w:hAnsi="Times New Roman" w:cs="Times New Roman"/>
                <w:szCs w:val="24"/>
                <w:lang w:eastAsia="en-US"/>
              </w:rPr>
              <w:t>.</w:t>
            </w:r>
          </w:p>
        </w:tc>
        <w:tc>
          <w:tcPr>
            <w:tcW w:w="4388" w:type="dxa"/>
            <w:shd w:val="clear" w:color="auto" w:fill="DCFDD7"/>
          </w:tcPr>
          <w:p w14:paraId="59A08126" w14:textId="1D2EE9A1" w:rsidR="002F67C9" w:rsidRPr="007F5B15" w:rsidRDefault="00131652" w:rsidP="002F67C9">
            <w:pPr>
              <w:jc w:val="center"/>
              <w:rPr>
                <w:rFonts w:ascii="Times New Roman" w:hAnsi="Times New Roman" w:cs="Times New Roman"/>
              </w:rPr>
            </w:pPr>
            <w:r>
              <w:rPr>
                <w:rFonts w:ascii="Times New Roman" w:eastAsia="Calibri" w:hAnsi="Times New Roman" w:cs="Times New Roman"/>
                <w:szCs w:val="24"/>
                <w:lang w:eastAsia="en-US"/>
              </w:rPr>
              <w:t>1</w:t>
            </w:r>
            <w:r w:rsidR="005E2E1B">
              <w:rPr>
                <w:rFonts w:ascii="Times New Roman" w:eastAsia="Calibri" w:hAnsi="Times New Roman" w:cs="Times New Roman"/>
                <w:szCs w:val="24"/>
                <w:lang w:eastAsia="en-US"/>
              </w:rPr>
              <w:t>2</w:t>
            </w:r>
            <w:r w:rsidR="002F67C9" w:rsidRPr="00316F0B">
              <w:rPr>
                <w:rFonts w:ascii="Times New Roman" w:eastAsia="Calibri" w:hAnsi="Times New Roman" w:cs="Times New Roman"/>
                <w:szCs w:val="24"/>
                <w:lang w:eastAsia="en-US"/>
              </w:rPr>
              <w:t>.07.2019.</w:t>
            </w:r>
          </w:p>
        </w:tc>
      </w:tr>
      <w:tr w:rsidR="002F67C9" w:rsidRPr="00C351C9" w14:paraId="0D334DEA" w14:textId="77777777" w:rsidTr="00744AA7">
        <w:trPr>
          <w:jc w:val="center"/>
        </w:trPr>
        <w:tc>
          <w:tcPr>
            <w:tcW w:w="847" w:type="dxa"/>
          </w:tcPr>
          <w:p w14:paraId="2D14EC28" w14:textId="43B80EC4" w:rsidR="002F67C9" w:rsidRPr="00744AA7" w:rsidRDefault="006E25B5" w:rsidP="002F67C9">
            <w:pPr>
              <w:pStyle w:val="ListParagraph"/>
              <w:ind w:left="0" w:right="282"/>
              <w:jc w:val="center"/>
              <w:rPr>
                <w:rFonts w:ascii="Times New Roman" w:hAnsi="Times New Roman" w:cs="Times New Roman"/>
                <w:b/>
              </w:rPr>
            </w:pPr>
            <w:r w:rsidRPr="00744AA7">
              <w:rPr>
                <w:rFonts w:ascii="Times New Roman" w:hAnsi="Times New Roman" w:cs="Times New Roman"/>
                <w:b/>
              </w:rPr>
              <w:t>2</w:t>
            </w:r>
            <w:r w:rsidR="002F67C9" w:rsidRPr="00744AA7">
              <w:rPr>
                <w:rFonts w:ascii="Times New Roman" w:hAnsi="Times New Roman" w:cs="Times New Roman"/>
                <w:b/>
              </w:rPr>
              <w:t>.</w:t>
            </w:r>
          </w:p>
        </w:tc>
        <w:tc>
          <w:tcPr>
            <w:tcW w:w="4393" w:type="dxa"/>
          </w:tcPr>
          <w:p w14:paraId="572606F2" w14:textId="77777777" w:rsidR="00744AA7" w:rsidRPr="00744AA7" w:rsidRDefault="00744AA7" w:rsidP="00744AA7">
            <w:pPr>
              <w:rPr>
                <w:rFonts w:ascii="Times New Roman" w:hAnsi="Times New Roman" w:cs="Times New Roman"/>
              </w:rPr>
            </w:pPr>
            <w:r w:rsidRPr="00744AA7">
              <w:rPr>
                <w:rFonts w:ascii="Times New Roman" w:hAnsi="Times New Roman" w:cs="Times New Roman"/>
              </w:rPr>
              <w:t>Rēzekne 2 apgaismojuma SCADA sistēmas izveidošanai nepieciešams lokālais sakaru tīkls stacijas objektos TP-89, TP-36 un Varoņu iela 16C (manevru tornis). Vai minētajos objektos sakaru tīkls tiks nodrošināts, vai arī sakaru tīkla izbūve Uzņēmējam jāiekļauj piedāvājuma cenā? Ja jābūvē sakaru tīkls, tad kādas prasības tīklam?</w:t>
            </w:r>
          </w:p>
          <w:p w14:paraId="16B48B28" w14:textId="380D7D70" w:rsidR="002F67C9" w:rsidRPr="007F5B15" w:rsidRDefault="002F67C9" w:rsidP="00932CB3">
            <w:pPr>
              <w:rPr>
                <w:rFonts w:ascii="Times New Roman" w:hAnsi="Times New Roman" w:cs="Times New Roman"/>
              </w:rPr>
            </w:pPr>
          </w:p>
        </w:tc>
        <w:tc>
          <w:tcPr>
            <w:tcW w:w="4388" w:type="dxa"/>
          </w:tcPr>
          <w:p w14:paraId="274B4218" w14:textId="32E8D0D2" w:rsidR="002F67C9" w:rsidRPr="007F5B15" w:rsidRDefault="00375539" w:rsidP="002F67C9">
            <w:pPr>
              <w:rPr>
                <w:rFonts w:ascii="Times New Roman" w:hAnsi="Times New Roman" w:cs="Times New Roman"/>
              </w:rPr>
            </w:pPr>
            <w:r w:rsidRPr="00375539">
              <w:rPr>
                <w:rFonts w:ascii="Times New Roman" w:hAnsi="Times New Roman" w:cs="Times New Roman"/>
              </w:rPr>
              <w:t>Lokālo sakaru tīklu objektos TP-89, TP-36 un Varoņu iel</w:t>
            </w:r>
            <w:r>
              <w:rPr>
                <w:rFonts w:ascii="Times New Roman" w:hAnsi="Times New Roman" w:cs="Times New Roman"/>
              </w:rPr>
              <w:t>ā</w:t>
            </w:r>
            <w:r w:rsidRPr="00375539">
              <w:rPr>
                <w:rFonts w:ascii="Times New Roman" w:hAnsi="Times New Roman" w:cs="Times New Roman"/>
              </w:rPr>
              <w:t xml:space="preserve"> 16c nodrošinās Pasūtītājs.</w:t>
            </w:r>
          </w:p>
        </w:tc>
      </w:tr>
      <w:tr w:rsidR="00744AA7" w:rsidRPr="00C351C9" w14:paraId="4BCE4779" w14:textId="77777777" w:rsidTr="00744AA7">
        <w:trPr>
          <w:jc w:val="center"/>
        </w:trPr>
        <w:tc>
          <w:tcPr>
            <w:tcW w:w="847" w:type="dxa"/>
          </w:tcPr>
          <w:p w14:paraId="5CEA97DA" w14:textId="26EE40D9" w:rsidR="00744AA7" w:rsidRPr="00744AA7" w:rsidRDefault="00744AA7" w:rsidP="002F67C9">
            <w:pPr>
              <w:pStyle w:val="ListParagraph"/>
              <w:ind w:left="0" w:right="282"/>
              <w:jc w:val="center"/>
              <w:rPr>
                <w:rFonts w:ascii="Times New Roman" w:hAnsi="Times New Roman" w:cs="Times New Roman"/>
                <w:b/>
              </w:rPr>
            </w:pPr>
            <w:r w:rsidRPr="00744AA7">
              <w:rPr>
                <w:rFonts w:ascii="Times New Roman" w:hAnsi="Times New Roman" w:cs="Times New Roman"/>
                <w:b/>
              </w:rPr>
              <w:t>3.</w:t>
            </w:r>
          </w:p>
        </w:tc>
        <w:tc>
          <w:tcPr>
            <w:tcW w:w="4393" w:type="dxa"/>
          </w:tcPr>
          <w:p w14:paraId="0CB8E7E3" w14:textId="77777777" w:rsidR="00744AA7" w:rsidRDefault="00744AA7" w:rsidP="00744AA7">
            <w:pPr>
              <w:rPr>
                <w:rFonts w:ascii="Times New Roman" w:hAnsi="Times New Roman" w:cs="Times New Roman"/>
              </w:rPr>
            </w:pPr>
            <w:r w:rsidRPr="00744AA7">
              <w:rPr>
                <w:rFonts w:ascii="Times New Roman" w:hAnsi="Times New Roman" w:cs="Times New Roman"/>
              </w:rPr>
              <w:t>Tehniskā uzdevuma 1. pielikumā dotas apgaismojuma zonas robežas. Vai veicot jaunā apgaismojuma aprēķinu ir jāņem vērā esošo apgaismojumu, kas atrodas uz 6-8m gariem koka balstiem, vai arī pēc jaunās apgaismojuma sistēmas izbūves veco apgaismojumu uz koka balstiem plānots atslēgt? (Ja plānots atslēgt, tad, vai Uzņēmējam piedāvājumā jāiekļauj veco koka balstu un gaismekļu demontāža?)</w:t>
            </w:r>
          </w:p>
          <w:p w14:paraId="2ED063C8" w14:textId="1197EF02" w:rsidR="00744AA7" w:rsidRPr="00744AA7" w:rsidRDefault="00744AA7" w:rsidP="00744AA7">
            <w:pPr>
              <w:rPr>
                <w:rFonts w:ascii="Times New Roman" w:hAnsi="Times New Roman" w:cs="Times New Roman"/>
              </w:rPr>
            </w:pPr>
          </w:p>
        </w:tc>
        <w:tc>
          <w:tcPr>
            <w:tcW w:w="4388" w:type="dxa"/>
          </w:tcPr>
          <w:p w14:paraId="0B90C47B" w14:textId="6267FFF8" w:rsidR="00744AA7" w:rsidRPr="007F5B15" w:rsidRDefault="00375539" w:rsidP="002F67C9">
            <w:pPr>
              <w:rPr>
                <w:rFonts w:ascii="Times New Roman" w:hAnsi="Times New Roman" w:cs="Times New Roman"/>
              </w:rPr>
            </w:pPr>
            <w:r w:rsidRPr="00375539">
              <w:rPr>
                <w:rFonts w:ascii="Times New Roman" w:hAnsi="Times New Roman" w:cs="Times New Roman"/>
              </w:rPr>
              <w:t>Esošo apgaismojumu uz 6-8m koka balstiem nav jāņem vērā. Pēc jaunās apgaismojuma sistēmas izbūves Pasūtītājs atslēgs veco apgaismojumu un demontēs koka balstus. Uzņēmējam piedāvājumā nav jāiekļauj veco koka balstu un gaismekļu demontāža.</w:t>
            </w:r>
          </w:p>
        </w:tc>
      </w:tr>
      <w:tr w:rsidR="009571FB" w:rsidRPr="00C351C9" w14:paraId="4AE44C15" w14:textId="77777777" w:rsidTr="002004E9">
        <w:trPr>
          <w:jc w:val="center"/>
        </w:trPr>
        <w:tc>
          <w:tcPr>
            <w:tcW w:w="847" w:type="dxa"/>
            <w:shd w:val="clear" w:color="auto" w:fill="DCFDD7"/>
          </w:tcPr>
          <w:p w14:paraId="4AFC87A5" w14:textId="77777777" w:rsidR="009571FB" w:rsidRPr="00744AA7" w:rsidRDefault="009571FB" w:rsidP="009571FB">
            <w:pPr>
              <w:pStyle w:val="ListParagraph"/>
              <w:ind w:left="0" w:right="282"/>
              <w:jc w:val="center"/>
              <w:rPr>
                <w:rFonts w:ascii="Times New Roman" w:hAnsi="Times New Roman" w:cs="Times New Roman"/>
                <w:b/>
              </w:rPr>
            </w:pPr>
          </w:p>
        </w:tc>
        <w:tc>
          <w:tcPr>
            <w:tcW w:w="4393" w:type="dxa"/>
            <w:shd w:val="clear" w:color="auto" w:fill="DCFDD7"/>
          </w:tcPr>
          <w:p w14:paraId="54ECAAFE" w14:textId="2CFECCCA" w:rsidR="009571FB" w:rsidRPr="00744AA7" w:rsidRDefault="009571FB" w:rsidP="009571FB">
            <w:pPr>
              <w:jc w:val="center"/>
              <w:rPr>
                <w:rFonts w:ascii="Times New Roman" w:hAnsi="Times New Roman" w:cs="Times New Roman"/>
              </w:rPr>
            </w:pPr>
            <w:r>
              <w:rPr>
                <w:rFonts w:ascii="Times New Roman" w:eastAsia="Calibri" w:hAnsi="Times New Roman" w:cs="Times New Roman"/>
                <w:szCs w:val="24"/>
                <w:lang w:eastAsia="en-US"/>
              </w:rPr>
              <w:t>1</w:t>
            </w:r>
            <w:r>
              <w:rPr>
                <w:rFonts w:ascii="Times New Roman" w:eastAsia="Calibri" w:hAnsi="Times New Roman" w:cs="Times New Roman"/>
                <w:szCs w:val="24"/>
                <w:lang w:eastAsia="en-US"/>
              </w:rPr>
              <w:t>2</w:t>
            </w:r>
            <w:r w:rsidRPr="00C351C9">
              <w:rPr>
                <w:rFonts w:ascii="Times New Roman" w:eastAsia="Calibri" w:hAnsi="Times New Roman" w:cs="Times New Roman"/>
                <w:szCs w:val="24"/>
                <w:lang w:eastAsia="en-US"/>
              </w:rPr>
              <w:t>.0</w:t>
            </w:r>
            <w:r>
              <w:rPr>
                <w:rFonts w:ascii="Times New Roman" w:eastAsia="Calibri" w:hAnsi="Times New Roman" w:cs="Times New Roman"/>
                <w:szCs w:val="24"/>
                <w:lang w:eastAsia="en-US"/>
              </w:rPr>
              <w:t>7</w:t>
            </w:r>
            <w:r w:rsidRPr="00C351C9">
              <w:rPr>
                <w:rFonts w:ascii="Times New Roman" w:eastAsia="Calibri" w:hAnsi="Times New Roman" w:cs="Times New Roman"/>
                <w:szCs w:val="24"/>
                <w:lang w:eastAsia="en-US"/>
              </w:rPr>
              <w:t>.201</w:t>
            </w:r>
            <w:r>
              <w:rPr>
                <w:rFonts w:ascii="Times New Roman" w:eastAsia="Calibri" w:hAnsi="Times New Roman" w:cs="Times New Roman"/>
                <w:szCs w:val="24"/>
                <w:lang w:eastAsia="en-US"/>
              </w:rPr>
              <w:t>9</w:t>
            </w:r>
            <w:r w:rsidRPr="00C351C9">
              <w:rPr>
                <w:rFonts w:ascii="Times New Roman" w:eastAsia="Calibri" w:hAnsi="Times New Roman" w:cs="Times New Roman"/>
                <w:szCs w:val="24"/>
                <w:lang w:eastAsia="en-US"/>
              </w:rPr>
              <w:t>.</w:t>
            </w:r>
          </w:p>
        </w:tc>
        <w:tc>
          <w:tcPr>
            <w:tcW w:w="4388" w:type="dxa"/>
            <w:shd w:val="clear" w:color="auto" w:fill="DCFDD7"/>
          </w:tcPr>
          <w:p w14:paraId="1668BB40" w14:textId="348B6689" w:rsidR="009571FB" w:rsidRPr="00375539" w:rsidRDefault="009571FB" w:rsidP="009571FB">
            <w:pPr>
              <w:jc w:val="center"/>
              <w:rPr>
                <w:rFonts w:ascii="Times New Roman" w:hAnsi="Times New Roman" w:cs="Times New Roman"/>
              </w:rPr>
            </w:pPr>
            <w:r>
              <w:rPr>
                <w:rFonts w:ascii="Times New Roman" w:eastAsia="Calibri" w:hAnsi="Times New Roman" w:cs="Times New Roman"/>
                <w:szCs w:val="24"/>
                <w:lang w:eastAsia="en-US"/>
              </w:rPr>
              <w:t>12</w:t>
            </w:r>
            <w:r w:rsidRPr="00316F0B">
              <w:rPr>
                <w:rFonts w:ascii="Times New Roman" w:eastAsia="Calibri" w:hAnsi="Times New Roman" w:cs="Times New Roman"/>
                <w:szCs w:val="24"/>
                <w:lang w:eastAsia="en-US"/>
              </w:rPr>
              <w:t>.07.2019.</w:t>
            </w:r>
          </w:p>
        </w:tc>
      </w:tr>
      <w:tr w:rsidR="009571FB" w:rsidRPr="00C351C9" w14:paraId="697CADB1" w14:textId="77777777" w:rsidTr="00744AA7">
        <w:trPr>
          <w:jc w:val="center"/>
        </w:trPr>
        <w:tc>
          <w:tcPr>
            <w:tcW w:w="847" w:type="dxa"/>
          </w:tcPr>
          <w:p w14:paraId="740F62F3" w14:textId="46FFB4EA" w:rsidR="009571FB" w:rsidRPr="00744AA7" w:rsidRDefault="009571FB" w:rsidP="009571FB">
            <w:pPr>
              <w:pStyle w:val="ListParagraph"/>
              <w:ind w:left="0" w:right="282"/>
              <w:jc w:val="center"/>
              <w:rPr>
                <w:rFonts w:ascii="Times New Roman" w:hAnsi="Times New Roman" w:cs="Times New Roman"/>
                <w:b/>
              </w:rPr>
            </w:pPr>
            <w:r>
              <w:rPr>
                <w:rFonts w:ascii="Times New Roman" w:hAnsi="Times New Roman" w:cs="Times New Roman"/>
                <w:b/>
              </w:rPr>
              <w:t>4.</w:t>
            </w:r>
          </w:p>
        </w:tc>
        <w:tc>
          <w:tcPr>
            <w:tcW w:w="4393" w:type="dxa"/>
          </w:tcPr>
          <w:p w14:paraId="2604A722" w14:textId="77777777" w:rsidR="009571FB" w:rsidRDefault="009571FB" w:rsidP="009571FB">
            <w:pPr>
              <w:rPr>
                <w:rFonts w:ascii="Times New Roman" w:hAnsi="Times New Roman" w:cs="Times New Roman"/>
              </w:rPr>
            </w:pPr>
            <w:r w:rsidRPr="009571FB">
              <w:rPr>
                <w:rFonts w:ascii="Times New Roman" w:hAnsi="Times New Roman" w:cs="Times New Roman"/>
              </w:rPr>
              <w:t xml:space="preserve">Atsaucoties uz Tehniskā uzdevuma 2.3 punktu lūdzam precizēt vai jaunā darba stacija Varoņu ielā 16C ir jāaprīko ar jaunu SCADA programmnodrošinājumu vai jāizmanto TP-36 un TP-89 kontrolpunkta aparatūras iebūvētos </w:t>
            </w:r>
            <w:proofErr w:type="spellStart"/>
            <w:r w:rsidRPr="009571FB">
              <w:rPr>
                <w:rFonts w:ascii="Times New Roman" w:hAnsi="Times New Roman" w:cs="Times New Roman"/>
              </w:rPr>
              <w:t>Web</w:t>
            </w:r>
            <w:proofErr w:type="spellEnd"/>
            <w:r w:rsidRPr="009571FB">
              <w:rPr>
                <w:rFonts w:ascii="Times New Roman" w:hAnsi="Times New Roman" w:cs="Times New Roman"/>
              </w:rPr>
              <w:t xml:space="preserve"> serverus?</w:t>
            </w:r>
          </w:p>
          <w:p w14:paraId="0D540648" w14:textId="17C61AF3" w:rsidR="009571FB" w:rsidRPr="00744AA7" w:rsidRDefault="009571FB" w:rsidP="009571FB">
            <w:pPr>
              <w:rPr>
                <w:rFonts w:ascii="Times New Roman" w:hAnsi="Times New Roman" w:cs="Times New Roman"/>
              </w:rPr>
            </w:pPr>
          </w:p>
        </w:tc>
        <w:tc>
          <w:tcPr>
            <w:tcW w:w="4388" w:type="dxa"/>
          </w:tcPr>
          <w:p w14:paraId="6B81B153" w14:textId="476A69DD" w:rsidR="009571FB" w:rsidRPr="00375539" w:rsidRDefault="002745AE" w:rsidP="009571FB">
            <w:pPr>
              <w:rPr>
                <w:rFonts w:ascii="Times New Roman" w:hAnsi="Times New Roman" w:cs="Times New Roman"/>
              </w:rPr>
            </w:pPr>
            <w:r>
              <w:rPr>
                <w:rFonts w:ascii="Times New Roman" w:hAnsi="Times New Roman" w:cs="Times New Roman"/>
              </w:rPr>
              <w:t xml:space="preserve">Jaunā darba stacija Varoņu ielā 16c ir  </w:t>
            </w:r>
            <w:r w:rsidR="00464A82" w:rsidRPr="00464A82">
              <w:rPr>
                <w:rFonts w:ascii="Times New Roman" w:hAnsi="Times New Roman" w:cs="Times New Roman"/>
              </w:rPr>
              <w:t xml:space="preserve">jāaprīko ar jaunu SCADA programmnodrošinājumu </w:t>
            </w:r>
            <w:r>
              <w:rPr>
                <w:rFonts w:ascii="Times New Roman" w:hAnsi="Times New Roman" w:cs="Times New Roman"/>
              </w:rPr>
              <w:t>un</w:t>
            </w:r>
            <w:r w:rsidR="00464A82" w:rsidRPr="00464A82">
              <w:rPr>
                <w:rFonts w:ascii="Times New Roman" w:hAnsi="Times New Roman" w:cs="Times New Roman"/>
              </w:rPr>
              <w:t xml:space="preserve"> jāizmanto TP-36 un TP-89 kontrolpunkta aparatūras iebūvētos </w:t>
            </w:r>
            <w:proofErr w:type="spellStart"/>
            <w:r w:rsidR="00464A82" w:rsidRPr="00464A82">
              <w:rPr>
                <w:rFonts w:ascii="Times New Roman" w:hAnsi="Times New Roman" w:cs="Times New Roman"/>
              </w:rPr>
              <w:t>Web</w:t>
            </w:r>
            <w:proofErr w:type="spellEnd"/>
            <w:r w:rsidR="00464A82" w:rsidRPr="00464A82">
              <w:rPr>
                <w:rFonts w:ascii="Times New Roman" w:hAnsi="Times New Roman" w:cs="Times New Roman"/>
              </w:rPr>
              <w:t xml:space="preserve"> serverus</w:t>
            </w:r>
            <w:r>
              <w:rPr>
                <w:rFonts w:ascii="Times New Roman" w:hAnsi="Times New Roman" w:cs="Times New Roman"/>
              </w:rPr>
              <w:t>.</w:t>
            </w:r>
            <w:bookmarkStart w:id="0" w:name="_GoBack"/>
            <w:bookmarkEnd w:id="0"/>
          </w:p>
        </w:tc>
      </w:tr>
    </w:tbl>
    <w:p w14:paraId="50A4097F" w14:textId="400D2FD1" w:rsidR="00C351C9" w:rsidRDefault="00C351C9" w:rsidP="005758A8">
      <w:pPr>
        <w:ind w:left="-284" w:right="282"/>
        <w:jc w:val="center"/>
        <w:rPr>
          <w:rFonts w:ascii="Times New Roman" w:hAnsi="Times New Roman" w:cs="Times New Roman"/>
          <w:b/>
          <w:sz w:val="24"/>
        </w:rPr>
      </w:pPr>
    </w:p>
    <w:p w14:paraId="54F0473B" w14:textId="20E98843" w:rsidR="00C351C9" w:rsidRDefault="00C351C9" w:rsidP="005758A8">
      <w:pPr>
        <w:ind w:left="-284" w:right="282"/>
        <w:jc w:val="center"/>
        <w:rPr>
          <w:rFonts w:ascii="Times New Roman" w:hAnsi="Times New Roman" w:cs="Times New Roman"/>
          <w:b/>
          <w:sz w:val="24"/>
        </w:rPr>
      </w:pPr>
    </w:p>
    <w:p w14:paraId="3A1D4669" w14:textId="77777777" w:rsidR="00C351C9" w:rsidRDefault="00C351C9" w:rsidP="005758A8">
      <w:pPr>
        <w:ind w:left="-284" w:right="282"/>
        <w:jc w:val="center"/>
        <w:rPr>
          <w:rFonts w:ascii="Times New Roman" w:hAnsi="Times New Roman" w:cs="Times New Roman"/>
          <w:b/>
          <w:sz w:val="24"/>
        </w:rPr>
      </w:pPr>
    </w:p>
    <w:p w14:paraId="5077D143" w14:textId="77777777" w:rsidR="00163F1B" w:rsidRDefault="00163F1B" w:rsidP="00A06273">
      <w:pPr>
        <w:ind w:left="-284"/>
        <w:jc w:val="both"/>
        <w:rPr>
          <w:rFonts w:ascii="Times New Roman" w:hAnsi="Times New Roman" w:cs="Times New Roman"/>
        </w:rPr>
      </w:pPr>
    </w:p>
    <w:sectPr w:rsidR="00163F1B" w:rsidSect="00C87752">
      <w:footerReference w:type="default" r:id="rId7"/>
      <w:pgSz w:w="11906" w:h="16838" w:code="9"/>
      <w:pgMar w:top="1418" w:right="1134" w:bottom="184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A036B" w14:textId="77777777" w:rsidR="00371142" w:rsidRDefault="00371142" w:rsidP="00591256">
      <w:r>
        <w:separator/>
      </w:r>
    </w:p>
  </w:endnote>
  <w:endnote w:type="continuationSeparator" w:id="0">
    <w:p w14:paraId="05239B47" w14:textId="77777777" w:rsidR="00371142" w:rsidRDefault="00371142"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785888"/>
      <w:docPartObj>
        <w:docPartGallery w:val="Page Numbers (Bottom of Page)"/>
        <w:docPartUnique/>
      </w:docPartObj>
    </w:sdtPr>
    <w:sdtEndPr>
      <w:rPr>
        <w:noProof/>
      </w:rPr>
    </w:sdtEndPr>
    <w:sdtContent>
      <w:p w14:paraId="044BA1BF" w14:textId="52124DCD" w:rsidR="00591256" w:rsidRDefault="00591256">
        <w:pPr>
          <w:pStyle w:val="Footer"/>
          <w:jc w:val="center"/>
        </w:pPr>
        <w:r>
          <w:fldChar w:fldCharType="begin"/>
        </w:r>
        <w:r>
          <w:instrText xml:space="preserve"> PAGE   \* MERGEFORMAT </w:instrText>
        </w:r>
        <w:r>
          <w:fldChar w:fldCharType="separate"/>
        </w:r>
        <w:r w:rsidR="00F93ADA">
          <w:rPr>
            <w:noProof/>
          </w:rPr>
          <w:t>7</w:t>
        </w:r>
        <w:r>
          <w:rPr>
            <w:noProof/>
          </w:rPr>
          <w:fldChar w:fldCharType="end"/>
        </w:r>
      </w:p>
    </w:sdtContent>
  </w:sdt>
  <w:p w14:paraId="3E22D227" w14:textId="77777777" w:rsidR="00591256" w:rsidRDefault="00591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1C4FA" w14:textId="77777777" w:rsidR="00371142" w:rsidRDefault="00371142" w:rsidP="00591256">
      <w:r>
        <w:separator/>
      </w:r>
    </w:p>
  </w:footnote>
  <w:footnote w:type="continuationSeparator" w:id="0">
    <w:p w14:paraId="50BCD3A2" w14:textId="77777777" w:rsidR="00371142" w:rsidRDefault="00371142"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7"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8"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1"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num>
  <w:num w:numId="4">
    <w:abstractNumId w:val="7"/>
  </w:num>
  <w:num w:numId="5">
    <w:abstractNumId w:val="3"/>
  </w:num>
  <w:num w:numId="6">
    <w:abstractNumId w:val="1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
  </w:num>
  <w:num w:numId="11">
    <w:abstractNumId w:val="10"/>
  </w:num>
  <w:num w:numId="12">
    <w:abstractNumId w:val="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03807"/>
    <w:rsid w:val="000132C4"/>
    <w:rsid w:val="000239A6"/>
    <w:rsid w:val="00024A24"/>
    <w:rsid w:val="00051E7F"/>
    <w:rsid w:val="00052337"/>
    <w:rsid w:val="00082F81"/>
    <w:rsid w:val="00092B48"/>
    <w:rsid w:val="000A3BC8"/>
    <w:rsid w:val="000F07E7"/>
    <w:rsid w:val="001258E1"/>
    <w:rsid w:val="00131652"/>
    <w:rsid w:val="00163F1B"/>
    <w:rsid w:val="00183613"/>
    <w:rsid w:val="00196818"/>
    <w:rsid w:val="001A3C4E"/>
    <w:rsid w:val="001A3CAD"/>
    <w:rsid w:val="001B211F"/>
    <w:rsid w:val="001B5F94"/>
    <w:rsid w:val="001B7B25"/>
    <w:rsid w:val="001F2825"/>
    <w:rsid w:val="00204413"/>
    <w:rsid w:val="002247D0"/>
    <w:rsid w:val="00265DC7"/>
    <w:rsid w:val="002745AE"/>
    <w:rsid w:val="0028443C"/>
    <w:rsid w:val="00297DEA"/>
    <w:rsid w:val="002A515E"/>
    <w:rsid w:val="002C16F3"/>
    <w:rsid w:val="002C6C2D"/>
    <w:rsid w:val="002E107A"/>
    <w:rsid w:val="002E23F3"/>
    <w:rsid w:val="002E7E8E"/>
    <w:rsid w:val="002F0834"/>
    <w:rsid w:val="002F4012"/>
    <w:rsid w:val="002F67C9"/>
    <w:rsid w:val="00316F0B"/>
    <w:rsid w:val="00342517"/>
    <w:rsid w:val="00344070"/>
    <w:rsid w:val="00347BB0"/>
    <w:rsid w:val="00371142"/>
    <w:rsid w:val="0037315B"/>
    <w:rsid w:val="00375539"/>
    <w:rsid w:val="003764EE"/>
    <w:rsid w:val="003872C0"/>
    <w:rsid w:val="003957DA"/>
    <w:rsid w:val="003D576F"/>
    <w:rsid w:val="003E7A86"/>
    <w:rsid w:val="00413CEE"/>
    <w:rsid w:val="00444B82"/>
    <w:rsid w:val="00445D89"/>
    <w:rsid w:val="00463E41"/>
    <w:rsid w:val="00464A82"/>
    <w:rsid w:val="00492F79"/>
    <w:rsid w:val="004C0953"/>
    <w:rsid w:val="004D44C5"/>
    <w:rsid w:val="004D6653"/>
    <w:rsid w:val="004F21DA"/>
    <w:rsid w:val="00506654"/>
    <w:rsid w:val="0051308D"/>
    <w:rsid w:val="005418F3"/>
    <w:rsid w:val="005758A8"/>
    <w:rsid w:val="00587352"/>
    <w:rsid w:val="00591256"/>
    <w:rsid w:val="005C0CD6"/>
    <w:rsid w:val="005C2E7F"/>
    <w:rsid w:val="005E2E1B"/>
    <w:rsid w:val="005E3F96"/>
    <w:rsid w:val="005F2835"/>
    <w:rsid w:val="006260C2"/>
    <w:rsid w:val="00631F39"/>
    <w:rsid w:val="00634E93"/>
    <w:rsid w:val="006366B0"/>
    <w:rsid w:val="00666C75"/>
    <w:rsid w:val="006B5391"/>
    <w:rsid w:val="006D75FD"/>
    <w:rsid w:val="006E25B5"/>
    <w:rsid w:val="006F698B"/>
    <w:rsid w:val="00707F9F"/>
    <w:rsid w:val="00713FBD"/>
    <w:rsid w:val="00735553"/>
    <w:rsid w:val="00744AA7"/>
    <w:rsid w:val="00771001"/>
    <w:rsid w:val="00773099"/>
    <w:rsid w:val="0079216E"/>
    <w:rsid w:val="007F5B15"/>
    <w:rsid w:val="00807118"/>
    <w:rsid w:val="008219EC"/>
    <w:rsid w:val="00850078"/>
    <w:rsid w:val="00856808"/>
    <w:rsid w:val="00861961"/>
    <w:rsid w:val="00862C9F"/>
    <w:rsid w:val="008A3EDD"/>
    <w:rsid w:val="008A44DC"/>
    <w:rsid w:val="008B229C"/>
    <w:rsid w:val="008C4090"/>
    <w:rsid w:val="008C59C7"/>
    <w:rsid w:val="008D132D"/>
    <w:rsid w:val="008D318F"/>
    <w:rsid w:val="008E2A21"/>
    <w:rsid w:val="008E6559"/>
    <w:rsid w:val="008F29EF"/>
    <w:rsid w:val="008F62DF"/>
    <w:rsid w:val="00932CB3"/>
    <w:rsid w:val="009431B9"/>
    <w:rsid w:val="009563F6"/>
    <w:rsid w:val="009571FB"/>
    <w:rsid w:val="009624F7"/>
    <w:rsid w:val="009A0F6E"/>
    <w:rsid w:val="009C568B"/>
    <w:rsid w:val="009E662D"/>
    <w:rsid w:val="009E7606"/>
    <w:rsid w:val="00A00D7B"/>
    <w:rsid w:val="00A06273"/>
    <w:rsid w:val="00A11B96"/>
    <w:rsid w:val="00A208FA"/>
    <w:rsid w:val="00A3521F"/>
    <w:rsid w:val="00A72D0A"/>
    <w:rsid w:val="00AA0422"/>
    <w:rsid w:val="00AA4017"/>
    <w:rsid w:val="00AB5660"/>
    <w:rsid w:val="00AB5C67"/>
    <w:rsid w:val="00AC1C58"/>
    <w:rsid w:val="00AC5A79"/>
    <w:rsid w:val="00AC7B56"/>
    <w:rsid w:val="00AE5484"/>
    <w:rsid w:val="00AE5C91"/>
    <w:rsid w:val="00AF5E4B"/>
    <w:rsid w:val="00B04E8A"/>
    <w:rsid w:val="00B05BE9"/>
    <w:rsid w:val="00B0777A"/>
    <w:rsid w:val="00B27D58"/>
    <w:rsid w:val="00B30B4F"/>
    <w:rsid w:val="00B45A34"/>
    <w:rsid w:val="00B57CB0"/>
    <w:rsid w:val="00B75D7F"/>
    <w:rsid w:val="00B76621"/>
    <w:rsid w:val="00B9005B"/>
    <w:rsid w:val="00BB3722"/>
    <w:rsid w:val="00BC0FE9"/>
    <w:rsid w:val="00BC1027"/>
    <w:rsid w:val="00BD5D8B"/>
    <w:rsid w:val="00BE6A55"/>
    <w:rsid w:val="00C351C9"/>
    <w:rsid w:val="00C46156"/>
    <w:rsid w:val="00C5452E"/>
    <w:rsid w:val="00C61F61"/>
    <w:rsid w:val="00C67481"/>
    <w:rsid w:val="00C867EA"/>
    <w:rsid w:val="00C87752"/>
    <w:rsid w:val="00CB0C7B"/>
    <w:rsid w:val="00CC3DA8"/>
    <w:rsid w:val="00CD0BEE"/>
    <w:rsid w:val="00CD55B3"/>
    <w:rsid w:val="00CD760F"/>
    <w:rsid w:val="00D14817"/>
    <w:rsid w:val="00D17FBF"/>
    <w:rsid w:val="00D64456"/>
    <w:rsid w:val="00D76F2F"/>
    <w:rsid w:val="00D775C1"/>
    <w:rsid w:val="00D83E2B"/>
    <w:rsid w:val="00D9583C"/>
    <w:rsid w:val="00D966AD"/>
    <w:rsid w:val="00DD283A"/>
    <w:rsid w:val="00DD3133"/>
    <w:rsid w:val="00DF4C8C"/>
    <w:rsid w:val="00E30FB4"/>
    <w:rsid w:val="00E36588"/>
    <w:rsid w:val="00E365BF"/>
    <w:rsid w:val="00E423E0"/>
    <w:rsid w:val="00E50F55"/>
    <w:rsid w:val="00E53C5A"/>
    <w:rsid w:val="00E74F21"/>
    <w:rsid w:val="00E82AFA"/>
    <w:rsid w:val="00EA2EC9"/>
    <w:rsid w:val="00EA572A"/>
    <w:rsid w:val="00EB5CD6"/>
    <w:rsid w:val="00ED72A4"/>
    <w:rsid w:val="00F01E52"/>
    <w:rsid w:val="00F10533"/>
    <w:rsid w:val="00F63554"/>
    <w:rsid w:val="00F755F7"/>
    <w:rsid w:val="00F93ADA"/>
    <w:rsid w:val="00F94929"/>
    <w:rsid w:val="00F9799B"/>
    <w:rsid w:val="00FB561B"/>
    <w:rsid w:val="00FC0715"/>
    <w:rsid w:val="00FC1183"/>
    <w:rsid w:val="00FC5385"/>
    <w:rsid w:val="00FD2BE8"/>
    <w:rsid w:val="00FE631B"/>
    <w:rsid w:val="00FE74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853B"/>
  <w15:chartTrackingRefBased/>
  <w15:docId w15:val="{C7D1C9ED-FE09-4BA5-A2B4-8F44B785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FBD"/>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02310665">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93570512">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95181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1187</TotalTime>
  <Pages>3</Pages>
  <Words>3898</Words>
  <Characters>2223</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dc:description/>
  <cp:lastModifiedBy>Inga Zilberga</cp:lastModifiedBy>
  <cp:revision>21</cp:revision>
  <cp:lastPrinted>2019-07-12T06:33:00Z</cp:lastPrinted>
  <dcterms:created xsi:type="dcterms:W3CDTF">2019-07-10T12:29:00Z</dcterms:created>
  <dcterms:modified xsi:type="dcterms:W3CDTF">2019-07-12T10:38:00Z</dcterms:modified>
</cp:coreProperties>
</file>