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41763" w14:textId="77777777" w:rsidR="00F91C1F" w:rsidRPr="008951BD" w:rsidRDefault="00F91C1F" w:rsidP="00F91C1F">
      <w:pPr>
        <w:tabs>
          <w:tab w:val="left" w:pos="3760"/>
        </w:tabs>
        <w:ind w:left="-284" w:right="-625" w:firstLine="4395"/>
        <w:jc w:val="right"/>
        <w:rPr>
          <w:rFonts w:eastAsia="Calibri"/>
          <w:i/>
          <w:szCs w:val="24"/>
          <w:lang w:eastAsia="lv-LV"/>
        </w:rPr>
      </w:pPr>
      <w:r w:rsidRPr="008951BD">
        <w:rPr>
          <w:rFonts w:eastAsia="Calibri"/>
          <w:i/>
          <w:szCs w:val="24"/>
          <w:lang w:eastAsia="lv-LV"/>
        </w:rPr>
        <w:t>APSTIPRINĀTS:</w:t>
      </w:r>
    </w:p>
    <w:p w14:paraId="6562100C" w14:textId="77777777" w:rsidR="00F91C1F" w:rsidRPr="008951BD" w:rsidRDefault="00F91C1F" w:rsidP="00F91C1F">
      <w:pPr>
        <w:tabs>
          <w:tab w:val="left" w:pos="3760"/>
        </w:tabs>
        <w:ind w:right="-625"/>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2020.gada 1</w:t>
      </w:r>
      <w:r>
        <w:rPr>
          <w:rFonts w:eastAsia="Arial Unicode MS"/>
          <w:i/>
          <w:szCs w:val="24"/>
          <w:lang w:eastAsia="lv-LV"/>
        </w:rPr>
        <w:t>7</w:t>
      </w:r>
      <w:r w:rsidRPr="008951BD">
        <w:rPr>
          <w:rFonts w:eastAsia="Arial Unicode MS"/>
          <w:i/>
          <w:szCs w:val="24"/>
          <w:lang w:eastAsia="lv-LV"/>
        </w:rPr>
        <w:t xml:space="preserve">.jūlija </w:t>
      </w:r>
    </w:p>
    <w:p w14:paraId="7E0E8974" w14:textId="77777777" w:rsidR="00F91C1F" w:rsidRDefault="00F91C1F" w:rsidP="00F91C1F">
      <w:pPr>
        <w:ind w:right="-625"/>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6</w:t>
      </w:r>
    </w:p>
    <w:p w14:paraId="0EBC12F7" w14:textId="77777777" w:rsidR="0098236C" w:rsidRDefault="0098236C" w:rsidP="00F91C1F">
      <w:pPr>
        <w:ind w:right="-625"/>
        <w:rPr>
          <w:rFonts w:ascii="Arial" w:hAnsi="Arial" w:cs="Arial"/>
        </w:rPr>
      </w:pPr>
    </w:p>
    <w:p w14:paraId="60304FE4" w14:textId="77777777" w:rsidR="00F91C1F" w:rsidRDefault="00F91C1F">
      <w:pPr>
        <w:rPr>
          <w:rFonts w:ascii="Arial" w:hAnsi="Arial" w:cs="Arial"/>
        </w:rPr>
      </w:pPr>
    </w:p>
    <w:p w14:paraId="3875C694" w14:textId="77777777" w:rsidR="00F91C1F" w:rsidRDefault="00F91C1F">
      <w:pPr>
        <w:rPr>
          <w:rFonts w:ascii="Arial" w:hAnsi="Arial" w:cs="Arial"/>
        </w:rPr>
      </w:pPr>
    </w:p>
    <w:p w14:paraId="194FF30F" w14:textId="77777777" w:rsidR="00F91C1F" w:rsidRPr="00A50FFD" w:rsidRDefault="00F91C1F" w:rsidP="00F91C1F">
      <w:pPr>
        <w:jc w:val="center"/>
        <w:rPr>
          <w:b/>
          <w:szCs w:val="24"/>
        </w:rPr>
      </w:pPr>
      <w:bookmarkStart w:id="0" w:name="_Hlk42600420"/>
      <w:r w:rsidRPr="00A50FFD">
        <w:rPr>
          <w:b/>
        </w:rPr>
        <w:t>VAS </w:t>
      </w:r>
      <w:r w:rsidRPr="00A50FFD">
        <w:rPr>
          <w:b/>
          <w:color w:val="222222"/>
        </w:rPr>
        <w:t>„</w:t>
      </w:r>
      <w:r w:rsidRPr="00A50FFD">
        <w:rPr>
          <w:b/>
        </w:rPr>
        <w:t>Latvijas dzelzceļš</w:t>
      </w:r>
      <w:r w:rsidRPr="00A50FFD">
        <w:rPr>
          <w:b/>
          <w:szCs w:val="24"/>
        </w:rPr>
        <w:t xml:space="preserve">” </w:t>
      </w:r>
    </w:p>
    <w:p w14:paraId="2B2C5161" w14:textId="77777777" w:rsidR="00F91C1F" w:rsidRPr="00A50FFD" w:rsidRDefault="00F91C1F" w:rsidP="00F91C1F">
      <w:pPr>
        <w:ind w:left="142" w:right="-1"/>
        <w:jc w:val="center"/>
        <w:rPr>
          <w:b/>
          <w:szCs w:val="24"/>
        </w:rPr>
      </w:pPr>
      <w:r w:rsidRPr="00A50FFD">
        <w:rPr>
          <w:b/>
          <w:szCs w:val="24"/>
        </w:rPr>
        <w:t>sarunu procedūras ar publikāciju</w:t>
      </w:r>
    </w:p>
    <w:p w14:paraId="5E3AC24A" w14:textId="77777777" w:rsidR="00F91C1F" w:rsidRPr="00A50FFD" w:rsidRDefault="00F91C1F" w:rsidP="00F91C1F">
      <w:pPr>
        <w:jc w:val="center"/>
        <w:rPr>
          <w:b/>
          <w:bCs/>
        </w:rPr>
      </w:pPr>
      <w:r w:rsidRPr="00A50FFD">
        <w:rPr>
          <w:b/>
          <w:bCs/>
          <w:color w:val="222222"/>
        </w:rPr>
        <w:t>„</w:t>
      </w:r>
      <w:r w:rsidRPr="00A50FFD">
        <w:rPr>
          <w:b/>
          <w:bCs/>
        </w:rPr>
        <w:t>Lokomotīvju videonovērošanas sistēmu (LVNS) piegāde un uzstādīšana</w:t>
      </w:r>
    </w:p>
    <w:p w14:paraId="0F3C78BD" w14:textId="77777777" w:rsidR="00F91C1F" w:rsidRPr="00A50FFD" w:rsidRDefault="00F91C1F" w:rsidP="00F91C1F">
      <w:pPr>
        <w:jc w:val="center"/>
        <w:rPr>
          <w:b/>
          <w:bCs/>
        </w:rPr>
      </w:pPr>
      <w:r w:rsidRPr="00A50FFD">
        <w:rPr>
          <w:b/>
          <w:bCs/>
        </w:rPr>
        <w:t xml:space="preserve"> SIA „LDZ CARGO” vajadzībām”</w:t>
      </w:r>
    </w:p>
    <w:p w14:paraId="1DF094B3" w14:textId="77777777" w:rsidR="00F91C1F" w:rsidRPr="00A50FFD" w:rsidRDefault="00F91C1F" w:rsidP="00F91C1F">
      <w:pPr>
        <w:ind w:left="284" w:right="282"/>
        <w:rPr>
          <w:rFonts w:eastAsia="Calibri"/>
        </w:rPr>
      </w:pPr>
    </w:p>
    <w:p w14:paraId="318546AF" w14:textId="77777777" w:rsidR="00F91C1F" w:rsidRPr="00A50FFD" w:rsidRDefault="00F91C1F" w:rsidP="00F91C1F">
      <w:pPr>
        <w:ind w:left="284" w:right="282"/>
        <w:jc w:val="center"/>
        <w:rPr>
          <w:rFonts w:eastAsia="Calibri"/>
          <w:b/>
        </w:rPr>
      </w:pPr>
      <w:r w:rsidRPr="00A50FFD">
        <w:rPr>
          <w:rFonts w:eastAsia="Calibri"/>
          <w:b/>
        </w:rPr>
        <w:t>Skaidrojums Nr.5</w:t>
      </w:r>
    </w:p>
    <w:p w14:paraId="60F56F21" w14:textId="77777777" w:rsidR="00F91C1F" w:rsidRPr="00A50FFD" w:rsidRDefault="00F91C1F" w:rsidP="00F91C1F">
      <w:pPr>
        <w:ind w:left="284" w:right="282"/>
        <w:jc w:val="center"/>
        <w:rPr>
          <w:rFonts w:eastAsia="Calibri"/>
          <w:b/>
        </w:rPr>
      </w:pPr>
    </w:p>
    <w:tbl>
      <w:tblPr>
        <w:tblpPr w:leftFromText="180" w:rightFromText="180" w:vertAnchor="text" w:horzAnchor="margin" w:tblpXSpec="center" w:tblpY="10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708"/>
        <w:gridCol w:w="4394"/>
      </w:tblGrid>
      <w:tr w:rsidR="00F91C1F" w:rsidRPr="00DD12C9" w14:paraId="4A42D6F7" w14:textId="77777777" w:rsidTr="00F91C1F">
        <w:trPr>
          <w:trHeight w:val="655"/>
        </w:trPr>
        <w:tc>
          <w:tcPr>
            <w:tcW w:w="674" w:type="dxa"/>
            <w:shd w:val="clear" w:color="auto" w:fill="FFF2CC"/>
            <w:vAlign w:val="center"/>
          </w:tcPr>
          <w:p w14:paraId="42B530BC" w14:textId="77777777" w:rsidR="00F91C1F" w:rsidRPr="00393569" w:rsidRDefault="00F91C1F" w:rsidP="00F91C1F">
            <w:pPr>
              <w:jc w:val="center"/>
              <w:rPr>
                <w:rFonts w:eastAsia="Calibri"/>
                <w:b/>
                <w:szCs w:val="24"/>
              </w:rPr>
            </w:pPr>
            <w:r w:rsidRPr="00393569">
              <w:rPr>
                <w:rFonts w:eastAsia="Calibri"/>
                <w:b/>
                <w:szCs w:val="24"/>
              </w:rPr>
              <w:t>Nr.</w:t>
            </w:r>
          </w:p>
          <w:p w14:paraId="3C1B7DC7" w14:textId="77777777" w:rsidR="00F91C1F" w:rsidRPr="00393569" w:rsidRDefault="00F91C1F" w:rsidP="00F91C1F">
            <w:pPr>
              <w:jc w:val="center"/>
              <w:rPr>
                <w:rFonts w:eastAsia="Calibri"/>
                <w:b/>
                <w:szCs w:val="24"/>
              </w:rPr>
            </w:pPr>
            <w:r w:rsidRPr="00393569">
              <w:rPr>
                <w:rFonts w:eastAsia="Calibri"/>
                <w:b/>
                <w:szCs w:val="24"/>
              </w:rPr>
              <w:t>p.k.</w:t>
            </w:r>
          </w:p>
        </w:tc>
        <w:tc>
          <w:tcPr>
            <w:tcW w:w="4708" w:type="dxa"/>
            <w:shd w:val="clear" w:color="auto" w:fill="FFF2CC"/>
            <w:vAlign w:val="center"/>
          </w:tcPr>
          <w:p w14:paraId="05B52133" w14:textId="77777777" w:rsidR="00F91C1F" w:rsidRPr="00393569" w:rsidRDefault="00F91C1F" w:rsidP="00F91C1F">
            <w:pPr>
              <w:jc w:val="center"/>
              <w:rPr>
                <w:rFonts w:eastAsia="Calibri"/>
                <w:b/>
                <w:i/>
                <w:szCs w:val="24"/>
              </w:rPr>
            </w:pPr>
            <w:r w:rsidRPr="00393569">
              <w:rPr>
                <w:rFonts w:eastAsia="Calibri"/>
                <w:b/>
                <w:i/>
                <w:szCs w:val="24"/>
              </w:rPr>
              <w:t>Jautājums</w:t>
            </w:r>
          </w:p>
        </w:tc>
        <w:tc>
          <w:tcPr>
            <w:tcW w:w="4394" w:type="dxa"/>
            <w:shd w:val="clear" w:color="auto" w:fill="FFF2CC"/>
            <w:vAlign w:val="center"/>
          </w:tcPr>
          <w:p w14:paraId="10C75635" w14:textId="77777777" w:rsidR="00F91C1F" w:rsidRPr="00393569" w:rsidRDefault="00F91C1F" w:rsidP="00F91C1F">
            <w:pPr>
              <w:jc w:val="center"/>
              <w:rPr>
                <w:rFonts w:eastAsia="Calibri"/>
                <w:b/>
                <w:i/>
                <w:szCs w:val="24"/>
              </w:rPr>
            </w:pPr>
            <w:r w:rsidRPr="00393569">
              <w:rPr>
                <w:rFonts w:eastAsia="Calibri"/>
                <w:b/>
                <w:i/>
                <w:szCs w:val="24"/>
              </w:rPr>
              <w:t>Atbilde</w:t>
            </w:r>
          </w:p>
        </w:tc>
      </w:tr>
      <w:tr w:rsidR="00F91C1F" w:rsidRPr="00DD12C9" w14:paraId="56649CEF" w14:textId="77777777" w:rsidTr="00F91C1F">
        <w:trPr>
          <w:trHeight w:val="1130"/>
        </w:trPr>
        <w:tc>
          <w:tcPr>
            <w:tcW w:w="674" w:type="dxa"/>
            <w:shd w:val="clear" w:color="auto" w:fill="auto"/>
          </w:tcPr>
          <w:p w14:paraId="013DA5EA" w14:textId="77777777" w:rsidR="00F91C1F" w:rsidRPr="00393569" w:rsidRDefault="00F91C1F" w:rsidP="00F91C1F">
            <w:pPr>
              <w:jc w:val="center"/>
              <w:rPr>
                <w:rFonts w:eastAsia="Calibri"/>
                <w:szCs w:val="24"/>
              </w:rPr>
            </w:pPr>
            <w:r w:rsidRPr="00393569">
              <w:rPr>
                <w:rFonts w:eastAsia="Calibri"/>
                <w:szCs w:val="24"/>
              </w:rPr>
              <w:t>1.</w:t>
            </w:r>
          </w:p>
        </w:tc>
        <w:tc>
          <w:tcPr>
            <w:tcW w:w="4708" w:type="dxa"/>
            <w:shd w:val="clear" w:color="auto" w:fill="auto"/>
          </w:tcPr>
          <w:p w14:paraId="3512AFDD" w14:textId="77777777" w:rsidR="00F91C1F" w:rsidRPr="00393569" w:rsidRDefault="00F91C1F" w:rsidP="00F91C1F">
            <w:pPr>
              <w:spacing w:after="160" w:line="252" w:lineRule="auto"/>
              <w:rPr>
                <w:rFonts w:eastAsia="Times New Roman"/>
              </w:rPr>
            </w:pPr>
            <w:r w:rsidRPr="00393569">
              <w:rPr>
                <w:rFonts w:eastAsia="Times New Roman"/>
              </w:rPr>
              <w:t xml:space="preserve">Vai pasūtītāja ekspluatācijā esošā sistēma </w:t>
            </w:r>
            <w:r w:rsidRPr="00393569">
              <w:rPr>
                <w:rFonts w:eastAsia="Times New Roman"/>
                <w:i/>
                <w:iCs/>
                <w:color w:val="222222"/>
              </w:rPr>
              <w:t>„</w:t>
            </w:r>
            <w:proofErr w:type="spellStart"/>
            <w:r w:rsidRPr="00393569">
              <w:rPr>
                <w:rFonts w:eastAsia="Times New Roman"/>
                <w:i/>
                <w:iCs/>
              </w:rPr>
              <w:t>TrackPro</w:t>
            </w:r>
            <w:proofErr w:type="spellEnd"/>
            <w:r w:rsidRPr="00393569">
              <w:rPr>
                <w:rFonts w:eastAsia="Times New Roman"/>
                <w:i/>
                <w:iCs/>
              </w:rPr>
              <w:t>”</w:t>
            </w:r>
            <w:r w:rsidRPr="00393569">
              <w:rPr>
                <w:rFonts w:eastAsia="Times New Roman"/>
              </w:rPr>
              <w:t xml:space="preserve"> atbalsta pilnvērtīgu video attēla saņemšanu caur universālo protokolu </w:t>
            </w:r>
            <w:r w:rsidRPr="00393569">
              <w:rPr>
                <w:rFonts w:eastAsia="Times New Roman"/>
                <w:i/>
                <w:iCs/>
              </w:rPr>
              <w:t>RTSP (</w:t>
            </w:r>
            <w:proofErr w:type="spellStart"/>
            <w:r w:rsidRPr="00393569">
              <w:rPr>
                <w:rFonts w:eastAsia="Times New Roman"/>
                <w:i/>
                <w:iCs/>
              </w:rPr>
              <w:t>Real</w:t>
            </w:r>
            <w:proofErr w:type="spellEnd"/>
            <w:r w:rsidRPr="00393569">
              <w:rPr>
                <w:rFonts w:eastAsia="Times New Roman"/>
                <w:i/>
                <w:iCs/>
              </w:rPr>
              <w:t xml:space="preserve"> </w:t>
            </w:r>
            <w:proofErr w:type="spellStart"/>
            <w:r w:rsidRPr="00393569">
              <w:rPr>
                <w:rFonts w:eastAsia="Times New Roman"/>
                <w:i/>
                <w:iCs/>
              </w:rPr>
              <w:t>time</w:t>
            </w:r>
            <w:proofErr w:type="spellEnd"/>
            <w:r w:rsidRPr="00393569">
              <w:rPr>
                <w:rFonts w:eastAsia="Times New Roman"/>
                <w:i/>
                <w:iCs/>
              </w:rPr>
              <w:t xml:space="preserve"> </w:t>
            </w:r>
            <w:proofErr w:type="spellStart"/>
            <w:r w:rsidRPr="00393569">
              <w:rPr>
                <w:rFonts w:eastAsia="Times New Roman"/>
                <w:i/>
                <w:iCs/>
              </w:rPr>
              <w:t>streaming</w:t>
            </w:r>
            <w:proofErr w:type="spellEnd"/>
            <w:r w:rsidRPr="00393569">
              <w:rPr>
                <w:rFonts w:eastAsia="Times New Roman"/>
                <w:i/>
                <w:iCs/>
              </w:rPr>
              <w:t xml:space="preserve"> </w:t>
            </w:r>
            <w:proofErr w:type="spellStart"/>
            <w:r w:rsidRPr="00393569">
              <w:rPr>
                <w:rFonts w:eastAsia="Times New Roman"/>
                <w:i/>
                <w:iCs/>
              </w:rPr>
              <w:t>protocol</w:t>
            </w:r>
            <w:proofErr w:type="spellEnd"/>
            <w:r w:rsidRPr="00393569">
              <w:rPr>
                <w:rFonts w:eastAsia="Times New Roman"/>
              </w:rPr>
              <w:t>)?</w:t>
            </w:r>
          </w:p>
        </w:tc>
        <w:tc>
          <w:tcPr>
            <w:tcW w:w="4394" w:type="dxa"/>
            <w:shd w:val="clear" w:color="auto" w:fill="auto"/>
          </w:tcPr>
          <w:p w14:paraId="28F1916C" w14:textId="77777777" w:rsidR="00F91C1F" w:rsidRPr="00393569" w:rsidRDefault="00F91C1F" w:rsidP="00F91C1F">
            <w:pPr>
              <w:rPr>
                <w:rFonts w:eastAsia="Calibri"/>
                <w:szCs w:val="24"/>
              </w:rPr>
            </w:pPr>
            <w:r w:rsidRPr="00393569">
              <w:rPr>
                <w:szCs w:val="24"/>
              </w:rPr>
              <w:t xml:space="preserve">Esošās sistēmas izstrādātājs apliecina, ka viņu produkts – informācijas sistēma </w:t>
            </w:r>
            <w:r w:rsidRPr="00393569">
              <w:rPr>
                <w:rFonts w:eastAsia="Times New Roman"/>
                <w:i/>
                <w:iCs/>
                <w:color w:val="222222"/>
                <w:szCs w:val="24"/>
              </w:rPr>
              <w:t>„</w:t>
            </w:r>
            <w:proofErr w:type="spellStart"/>
            <w:r w:rsidRPr="00393569">
              <w:rPr>
                <w:rFonts w:eastAsia="Times New Roman"/>
                <w:i/>
                <w:iCs/>
                <w:szCs w:val="24"/>
              </w:rPr>
              <w:t>TrackPro</w:t>
            </w:r>
            <w:proofErr w:type="spellEnd"/>
            <w:r w:rsidRPr="00393569">
              <w:rPr>
                <w:rFonts w:eastAsia="Times New Roman"/>
                <w:i/>
                <w:iCs/>
                <w:szCs w:val="24"/>
              </w:rPr>
              <w:t>”</w:t>
            </w:r>
            <w:r w:rsidRPr="00393569">
              <w:rPr>
                <w:szCs w:val="24"/>
              </w:rPr>
              <w:t xml:space="preserve">, atbalsta </w:t>
            </w:r>
            <w:r w:rsidRPr="00393569">
              <w:rPr>
                <w:i/>
                <w:iCs/>
                <w:szCs w:val="24"/>
              </w:rPr>
              <w:t>RTSP (</w:t>
            </w:r>
            <w:proofErr w:type="spellStart"/>
            <w:r w:rsidRPr="00393569">
              <w:rPr>
                <w:i/>
                <w:iCs/>
                <w:szCs w:val="24"/>
              </w:rPr>
              <w:t>Real</w:t>
            </w:r>
            <w:proofErr w:type="spellEnd"/>
            <w:r w:rsidRPr="00393569">
              <w:rPr>
                <w:i/>
                <w:iCs/>
                <w:szCs w:val="24"/>
              </w:rPr>
              <w:t xml:space="preserve"> </w:t>
            </w:r>
            <w:proofErr w:type="spellStart"/>
            <w:r w:rsidRPr="00393569">
              <w:rPr>
                <w:i/>
                <w:iCs/>
                <w:szCs w:val="24"/>
              </w:rPr>
              <w:t>time</w:t>
            </w:r>
            <w:proofErr w:type="spellEnd"/>
            <w:r w:rsidRPr="00393569">
              <w:rPr>
                <w:i/>
                <w:iCs/>
                <w:szCs w:val="24"/>
              </w:rPr>
              <w:t xml:space="preserve"> </w:t>
            </w:r>
            <w:proofErr w:type="spellStart"/>
            <w:r w:rsidRPr="00393569">
              <w:rPr>
                <w:i/>
                <w:iCs/>
                <w:szCs w:val="24"/>
              </w:rPr>
              <w:t>streaming</w:t>
            </w:r>
            <w:proofErr w:type="spellEnd"/>
            <w:r w:rsidRPr="00393569">
              <w:rPr>
                <w:i/>
                <w:iCs/>
                <w:szCs w:val="24"/>
              </w:rPr>
              <w:t xml:space="preserve"> </w:t>
            </w:r>
            <w:proofErr w:type="spellStart"/>
            <w:r w:rsidRPr="00393569">
              <w:rPr>
                <w:i/>
                <w:iCs/>
                <w:szCs w:val="24"/>
              </w:rPr>
              <w:t>protocol</w:t>
            </w:r>
            <w:proofErr w:type="spellEnd"/>
            <w:r w:rsidRPr="00393569">
              <w:rPr>
                <w:i/>
                <w:iCs/>
                <w:szCs w:val="24"/>
              </w:rPr>
              <w:t>)</w:t>
            </w:r>
            <w:r w:rsidRPr="00393569">
              <w:rPr>
                <w:szCs w:val="24"/>
              </w:rPr>
              <w:t xml:space="preserve"> universālo protokolu.</w:t>
            </w:r>
          </w:p>
        </w:tc>
      </w:tr>
      <w:tr w:rsidR="00F91C1F" w:rsidRPr="00DD12C9" w14:paraId="1E66C55E" w14:textId="77777777" w:rsidTr="00F91C1F">
        <w:trPr>
          <w:trHeight w:val="1831"/>
        </w:trPr>
        <w:tc>
          <w:tcPr>
            <w:tcW w:w="674" w:type="dxa"/>
            <w:shd w:val="clear" w:color="auto" w:fill="auto"/>
          </w:tcPr>
          <w:p w14:paraId="6CE563F6" w14:textId="77777777" w:rsidR="00F91C1F" w:rsidRPr="00393569" w:rsidRDefault="00F91C1F" w:rsidP="00F91C1F">
            <w:pPr>
              <w:jc w:val="center"/>
              <w:rPr>
                <w:rFonts w:eastAsia="Calibri"/>
                <w:szCs w:val="24"/>
              </w:rPr>
            </w:pPr>
            <w:r w:rsidRPr="00393569">
              <w:rPr>
                <w:rFonts w:eastAsia="Calibri"/>
                <w:szCs w:val="24"/>
              </w:rPr>
              <w:t>2.</w:t>
            </w:r>
          </w:p>
        </w:tc>
        <w:tc>
          <w:tcPr>
            <w:tcW w:w="4708" w:type="dxa"/>
            <w:shd w:val="clear" w:color="auto" w:fill="auto"/>
          </w:tcPr>
          <w:p w14:paraId="3738C283" w14:textId="77777777" w:rsidR="00F91C1F" w:rsidRPr="00393569" w:rsidRDefault="00F91C1F" w:rsidP="00F91C1F">
            <w:pPr>
              <w:spacing w:after="160" w:line="252" w:lineRule="auto"/>
              <w:rPr>
                <w:rFonts w:eastAsia="Times New Roman"/>
              </w:rPr>
            </w:pPr>
            <w:r w:rsidRPr="00393569">
              <w:rPr>
                <w:rFonts w:eastAsia="Times New Roman"/>
              </w:rPr>
              <w:t xml:space="preserve">Vai ir pieļaujams izmantot neatkarīgu GPS antenu ātruma noteikšanai un integrēšanai video attēlā (t.i. neizmantot datus no lokomotīvē esošās iekārtas </w:t>
            </w:r>
            <w:r w:rsidRPr="00393569">
              <w:rPr>
                <w:rFonts w:eastAsia="Times New Roman"/>
                <w:i/>
                <w:iCs/>
                <w:color w:val="222222"/>
              </w:rPr>
              <w:t>„</w:t>
            </w:r>
            <w:proofErr w:type="spellStart"/>
            <w:r w:rsidRPr="00393569">
              <w:rPr>
                <w:rFonts w:eastAsia="Times New Roman"/>
                <w:i/>
                <w:iCs/>
              </w:rPr>
              <w:t>Teltonika</w:t>
            </w:r>
            <w:proofErr w:type="spellEnd"/>
            <w:r w:rsidRPr="00393569">
              <w:rPr>
                <w:rFonts w:eastAsia="Times New Roman"/>
                <w:i/>
                <w:iCs/>
              </w:rPr>
              <w:t xml:space="preserve"> FMB640</w:t>
            </w:r>
            <w:r w:rsidRPr="00393569">
              <w:rPr>
                <w:rFonts w:eastAsia="Times New Roman"/>
              </w:rPr>
              <w:t>”)?</w:t>
            </w:r>
          </w:p>
          <w:p w14:paraId="178AF608" w14:textId="77777777" w:rsidR="00F91C1F" w:rsidRPr="00393569" w:rsidRDefault="00F91C1F" w:rsidP="00F91C1F"/>
        </w:tc>
        <w:tc>
          <w:tcPr>
            <w:tcW w:w="4394" w:type="dxa"/>
            <w:shd w:val="clear" w:color="auto" w:fill="auto"/>
          </w:tcPr>
          <w:p w14:paraId="098324C5" w14:textId="77777777" w:rsidR="00727254" w:rsidRPr="005333B1" w:rsidRDefault="00727254" w:rsidP="00727254">
            <w:pPr>
              <w:contextualSpacing/>
              <w:rPr>
                <w:strike/>
                <w:szCs w:val="24"/>
              </w:rPr>
            </w:pPr>
            <w:r w:rsidRPr="005333B1">
              <w:rPr>
                <w:strike/>
                <w:szCs w:val="24"/>
              </w:rPr>
              <w:t xml:space="preserve">Pasūtītājs (SIA </w:t>
            </w:r>
            <w:r w:rsidRPr="005333B1">
              <w:rPr>
                <w:rFonts w:eastAsia="Times New Roman"/>
                <w:strike/>
                <w:color w:val="222222"/>
                <w:szCs w:val="24"/>
              </w:rPr>
              <w:t>„</w:t>
            </w:r>
            <w:r w:rsidRPr="005333B1">
              <w:rPr>
                <w:strike/>
                <w:szCs w:val="24"/>
              </w:rPr>
              <w:t>LDZ CARGO”) skaidro, ka nav racionāli aprīkot dīzeļlokomotīves ar papildus GPS antenu, kura var ietekmēt gan radiosakaru darbību, gan esošās GPS antenas darbību, kā arī tādējādi netiktu atbalstīta, jau esošas funkcionalitātes dublēšana.</w:t>
            </w:r>
          </w:p>
          <w:p w14:paraId="490D4D99" w14:textId="07266087" w:rsidR="00F91C1F" w:rsidRPr="00393569" w:rsidRDefault="00727254" w:rsidP="00727254">
            <w:pPr>
              <w:rPr>
                <w:rFonts w:eastAsia="Calibri"/>
                <w:szCs w:val="24"/>
              </w:rPr>
            </w:pPr>
            <w:r w:rsidRPr="00A619BA">
              <w:rPr>
                <w:rFonts w:eastAsia="Calibri"/>
                <w:color w:val="FF0000"/>
                <w:szCs w:val="24"/>
              </w:rPr>
              <w:t>Skaidrojam, ka papildus GPS antenu drīkst uzstādīt</w:t>
            </w:r>
            <w:r>
              <w:rPr>
                <w:rFonts w:eastAsia="Calibri"/>
                <w:color w:val="FF0000"/>
                <w:szCs w:val="24"/>
              </w:rPr>
              <w:t xml:space="preserve"> </w:t>
            </w:r>
            <w:r w:rsidRPr="00816BA2">
              <w:rPr>
                <w:rFonts w:eastAsia="Calibri"/>
                <w:color w:val="FF0000"/>
                <w:szCs w:val="24"/>
              </w:rPr>
              <w:t xml:space="preserve">uz dīzeļlokomotīves, ja </w:t>
            </w:r>
            <w:r w:rsidRPr="00A619BA">
              <w:rPr>
                <w:rFonts w:eastAsia="Calibri"/>
                <w:color w:val="FF0000"/>
                <w:szCs w:val="24"/>
              </w:rPr>
              <w:t xml:space="preserve">pasūtītajam pirms </w:t>
            </w:r>
            <w:r w:rsidRPr="00A619BA">
              <w:rPr>
                <w:color w:val="FF0000"/>
              </w:rPr>
              <w:t>videonovērošanas sistēmas 1 (viena) komplekta strādājoša prototipa izstrādes saskaņā ar sarunu procedūras nolikuma 5.2.6.punktā noteikto</w:t>
            </w:r>
            <w:r w:rsidRPr="00A619BA">
              <w:rPr>
                <w:rFonts w:eastAsia="Calibri"/>
                <w:color w:val="FF0000"/>
                <w:szCs w:val="24"/>
              </w:rPr>
              <w:t xml:space="preserve"> tiks iesniegts saskaņots papildierīces uzstādīšanas projekts ar izvietošanas shēmu. Vienlaikus norādām, ka papildus GPS antena nedrīkst traucēt dīzeļlokomotīves esošās sistēmas darbību. Papildus lūdzam skatīt arī VAS </w:t>
            </w:r>
            <w:r w:rsidRPr="00A619BA">
              <w:rPr>
                <w:color w:val="FF0000"/>
                <w:szCs w:val="24"/>
              </w:rPr>
              <w:t xml:space="preserve">„Latvijas dzelzceļš” mājas </w:t>
            </w:r>
            <w:r w:rsidRPr="00B64179">
              <w:rPr>
                <w:color w:val="FF0000"/>
                <w:szCs w:val="24"/>
              </w:rPr>
              <w:t xml:space="preserve">lapā: </w:t>
            </w:r>
            <w:r w:rsidRPr="00B64179">
              <w:rPr>
                <w:i/>
                <w:iCs/>
                <w:color w:val="FF0000"/>
                <w:szCs w:val="24"/>
              </w:rPr>
              <w:t>https://www.ldz.lv/lv/iepirkumi</w:t>
            </w:r>
            <w:r w:rsidRPr="00B64179">
              <w:rPr>
                <w:color w:val="FF0000"/>
                <w:szCs w:val="24"/>
              </w:rPr>
              <w:t xml:space="preserve"> šī iepirkuma </w:t>
            </w:r>
            <w:r w:rsidRPr="00AB3F75">
              <w:rPr>
                <w:color w:val="FF0000"/>
                <w:szCs w:val="24"/>
              </w:rPr>
              <w:t xml:space="preserve">sadaļā </w:t>
            </w:r>
            <w:r w:rsidRPr="00AB3F75">
              <w:rPr>
                <w:rFonts w:eastAsia="Calibri"/>
                <w:color w:val="FF0000"/>
                <w:szCs w:val="24"/>
              </w:rPr>
              <w:t xml:space="preserve">publicētā Skaidrojuma Nr.6 pirmo atbildi </w:t>
            </w:r>
            <w:r w:rsidRPr="00AB3F75">
              <w:rPr>
                <w:rFonts w:eastAsia="Calibri"/>
                <w:b/>
                <w:bCs/>
                <w:i/>
                <w:iCs/>
                <w:color w:val="FF0000"/>
                <w:szCs w:val="24"/>
              </w:rPr>
              <w:t>(apstiprināts ar iepirkuma komisijas 2020.gada 2</w:t>
            </w:r>
            <w:r>
              <w:rPr>
                <w:rFonts w:eastAsia="Calibri"/>
                <w:b/>
                <w:bCs/>
                <w:i/>
                <w:iCs/>
                <w:color w:val="FF0000"/>
                <w:szCs w:val="24"/>
              </w:rPr>
              <w:t>9</w:t>
            </w:r>
            <w:r w:rsidRPr="00AB3F75">
              <w:rPr>
                <w:rFonts w:eastAsia="Calibri"/>
                <w:b/>
                <w:bCs/>
                <w:i/>
                <w:iCs/>
                <w:color w:val="FF0000"/>
                <w:szCs w:val="24"/>
              </w:rPr>
              <w:t>.jūlija sēdes protokolu Nr.7).</w:t>
            </w:r>
            <w:bookmarkStart w:id="1" w:name="_GoBack"/>
            <w:bookmarkEnd w:id="1"/>
          </w:p>
        </w:tc>
      </w:tr>
    </w:tbl>
    <w:p w14:paraId="67AE785E" w14:textId="77777777" w:rsidR="00F91C1F" w:rsidRPr="00A50FFD" w:rsidRDefault="00F91C1F" w:rsidP="00F91C1F">
      <w:pPr>
        <w:ind w:left="284" w:right="282"/>
        <w:jc w:val="center"/>
        <w:rPr>
          <w:rFonts w:eastAsia="Calibri"/>
          <w:b/>
        </w:rPr>
      </w:pPr>
    </w:p>
    <w:bookmarkEnd w:id="0"/>
    <w:p w14:paraId="2B4CAA75" w14:textId="77777777" w:rsidR="00F91C1F" w:rsidRPr="00DD12C9" w:rsidRDefault="00F91C1F" w:rsidP="00F91C1F">
      <w:pPr>
        <w:jc w:val="right"/>
        <w:rPr>
          <w:b/>
          <w:i/>
          <w:szCs w:val="24"/>
          <w:highlight w:val="yellow"/>
        </w:rPr>
      </w:pPr>
    </w:p>
    <w:p w14:paraId="37340B18" w14:textId="77777777" w:rsidR="00F91C1F" w:rsidRPr="00DD12C9" w:rsidRDefault="00F91C1F" w:rsidP="00F91C1F">
      <w:pPr>
        <w:jc w:val="right"/>
        <w:rPr>
          <w:b/>
          <w:i/>
          <w:szCs w:val="24"/>
          <w:highlight w:val="yellow"/>
        </w:rPr>
      </w:pPr>
    </w:p>
    <w:p w14:paraId="629A6139" w14:textId="77777777" w:rsidR="00F91C1F" w:rsidRPr="00DD12C9" w:rsidRDefault="00F91C1F" w:rsidP="00F91C1F">
      <w:pPr>
        <w:jc w:val="right"/>
        <w:rPr>
          <w:b/>
          <w:i/>
          <w:szCs w:val="24"/>
          <w:highlight w:val="yellow"/>
        </w:rPr>
      </w:pPr>
    </w:p>
    <w:p w14:paraId="5790A8D0" w14:textId="77777777" w:rsidR="00F91C1F" w:rsidRPr="00C20434" w:rsidRDefault="00F91C1F">
      <w:pPr>
        <w:rPr>
          <w:rFonts w:ascii="Arial" w:hAnsi="Arial" w:cs="Arial"/>
        </w:rPr>
      </w:pPr>
    </w:p>
    <w:sectPr w:rsidR="00F91C1F"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1F"/>
    <w:rsid w:val="003204EA"/>
    <w:rsid w:val="00727254"/>
    <w:rsid w:val="0098236C"/>
    <w:rsid w:val="00C20434"/>
    <w:rsid w:val="00F91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DF30"/>
  <w15:chartTrackingRefBased/>
  <w15:docId w15:val="{53E1D8DA-DF21-4670-AFD5-766BDEFD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1F"/>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1080</Words>
  <Characters>617</Characters>
  <Application>Microsoft Office Word</Application>
  <DocSecurity>0</DocSecurity>
  <Lines>5</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Izaja</cp:lastModifiedBy>
  <cp:revision>2</cp:revision>
  <dcterms:created xsi:type="dcterms:W3CDTF">2020-07-17T08:35:00Z</dcterms:created>
  <dcterms:modified xsi:type="dcterms:W3CDTF">2020-07-29T08:11:00Z</dcterms:modified>
</cp:coreProperties>
</file>