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2E22A" w14:textId="77777777" w:rsidR="00374AB7" w:rsidRPr="00AB3184" w:rsidRDefault="00374AB7" w:rsidP="00374AB7">
      <w:pPr>
        <w:tabs>
          <w:tab w:val="left" w:pos="3760"/>
        </w:tabs>
        <w:ind w:left="-284" w:right="-908" w:firstLine="4395"/>
        <w:jc w:val="right"/>
        <w:rPr>
          <w:rFonts w:eastAsia="Calibri"/>
          <w:i/>
          <w:szCs w:val="24"/>
          <w:lang w:eastAsia="lv-LV"/>
        </w:rPr>
      </w:pPr>
      <w:r w:rsidRPr="00AB3184">
        <w:rPr>
          <w:rFonts w:eastAsia="Calibri"/>
          <w:i/>
          <w:szCs w:val="24"/>
          <w:lang w:eastAsia="lv-LV"/>
        </w:rPr>
        <w:t>APSTIPRINĀTS:</w:t>
      </w:r>
    </w:p>
    <w:p w14:paraId="44BB4EC2" w14:textId="061B8944" w:rsidR="00374AB7" w:rsidRPr="008951BD" w:rsidRDefault="00374AB7" w:rsidP="00374AB7">
      <w:pPr>
        <w:tabs>
          <w:tab w:val="left" w:pos="3760"/>
        </w:tabs>
        <w:ind w:right="-908"/>
        <w:jc w:val="right"/>
        <w:rPr>
          <w:rFonts w:eastAsia="Calibri"/>
          <w:i/>
          <w:szCs w:val="24"/>
          <w:lang w:eastAsia="lv-LV"/>
        </w:rPr>
      </w:pPr>
      <w:r w:rsidRPr="00AB3184">
        <w:rPr>
          <w:rFonts w:eastAsia="Calibri"/>
          <w:i/>
          <w:szCs w:val="24"/>
          <w:lang w:eastAsia="lv-LV"/>
        </w:rPr>
        <w:t xml:space="preserve">ar iepirkuma komisijas </w:t>
      </w:r>
      <w:r w:rsidRPr="00AB3184">
        <w:rPr>
          <w:rFonts w:eastAsia="Arial Unicode MS"/>
          <w:i/>
          <w:szCs w:val="24"/>
          <w:lang w:eastAsia="lv-LV"/>
        </w:rPr>
        <w:t>202</w:t>
      </w:r>
      <w:r>
        <w:rPr>
          <w:rFonts w:eastAsia="Arial Unicode MS"/>
          <w:i/>
          <w:szCs w:val="24"/>
          <w:lang w:eastAsia="lv-LV"/>
        </w:rPr>
        <w:t>2</w:t>
      </w:r>
      <w:r w:rsidRPr="00AB3184">
        <w:rPr>
          <w:rFonts w:eastAsia="Arial Unicode MS"/>
          <w:i/>
          <w:szCs w:val="24"/>
          <w:lang w:eastAsia="lv-LV"/>
        </w:rPr>
        <w:t xml:space="preserve">.gada </w:t>
      </w:r>
      <w:r>
        <w:rPr>
          <w:rFonts w:eastAsia="Arial Unicode MS"/>
          <w:i/>
          <w:szCs w:val="24"/>
          <w:lang w:eastAsia="lv-LV"/>
        </w:rPr>
        <w:t>2.maija</w:t>
      </w:r>
      <w:r w:rsidRPr="008951BD">
        <w:rPr>
          <w:rFonts w:eastAsia="Arial Unicode MS"/>
          <w:i/>
          <w:szCs w:val="24"/>
          <w:lang w:eastAsia="lv-LV"/>
        </w:rPr>
        <w:t xml:space="preserve"> </w:t>
      </w:r>
    </w:p>
    <w:p w14:paraId="60C938B9" w14:textId="2E0326C4" w:rsidR="00374AB7" w:rsidRDefault="00374AB7" w:rsidP="00374AB7">
      <w:pPr>
        <w:ind w:right="-908"/>
        <w:jc w:val="right"/>
        <w:rPr>
          <w:rFonts w:eastAsia="Arial Unicode MS"/>
          <w:i/>
          <w:szCs w:val="24"/>
          <w:lang w:eastAsia="lv-LV"/>
        </w:rPr>
      </w:pPr>
      <w:r w:rsidRPr="008951BD">
        <w:rPr>
          <w:rFonts w:eastAsia="Arial Unicode MS"/>
          <w:i/>
          <w:szCs w:val="24"/>
          <w:lang w:eastAsia="lv-LV"/>
        </w:rPr>
        <w:t>sēdes protokolu Nr.</w:t>
      </w:r>
      <w:r>
        <w:rPr>
          <w:rFonts w:eastAsia="Arial Unicode MS"/>
          <w:i/>
          <w:szCs w:val="24"/>
          <w:lang w:eastAsia="lv-LV"/>
        </w:rPr>
        <w:t>5</w:t>
      </w:r>
    </w:p>
    <w:p w14:paraId="52297F53" w14:textId="00377B47" w:rsidR="0098236C" w:rsidRDefault="0098236C">
      <w:pPr>
        <w:rPr>
          <w:rFonts w:ascii="Arial" w:hAnsi="Arial" w:cs="Arial"/>
        </w:rPr>
      </w:pPr>
    </w:p>
    <w:p w14:paraId="23BEBE40" w14:textId="67956E2C" w:rsidR="00374AB7" w:rsidRDefault="00374AB7">
      <w:pPr>
        <w:rPr>
          <w:rFonts w:ascii="Arial" w:hAnsi="Arial" w:cs="Arial"/>
        </w:rPr>
      </w:pPr>
    </w:p>
    <w:p w14:paraId="0D88CFF2" w14:textId="77777777" w:rsidR="00374AB7" w:rsidRPr="00BC4BEE" w:rsidRDefault="00374AB7" w:rsidP="00374AB7">
      <w:pPr>
        <w:jc w:val="center"/>
        <w:rPr>
          <w:b/>
        </w:rPr>
      </w:pPr>
      <w:bookmarkStart w:id="0" w:name="_Hlk101795106"/>
      <w:r w:rsidRPr="00BC4BEE">
        <w:rPr>
          <w:b/>
        </w:rPr>
        <w:t>VAS </w:t>
      </w:r>
      <w:r w:rsidRPr="00BC4BEE">
        <w:rPr>
          <w:b/>
          <w:color w:val="222222"/>
        </w:rPr>
        <w:t>„</w:t>
      </w:r>
      <w:r w:rsidRPr="00BC4BEE">
        <w:rPr>
          <w:b/>
        </w:rPr>
        <w:t xml:space="preserve">Latvijas dzelzceļš” </w:t>
      </w:r>
    </w:p>
    <w:p w14:paraId="549E3EEB" w14:textId="77777777" w:rsidR="00374AB7" w:rsidRPr="00BC4BEE" w:rsidRDefault="00374AB7" w:rsidP="00374AB7">
      <w:pPr>
        <w:ind w:left="142" w:right="-1"/>
        <w:jc w:val="center"/>
        <w:rPr>
          <w:b/>
        </w:rPr>
      </w:pPr>
      <w:r w:rsidRPr="00BC4BEE">
        <w:rPr>
          <w:b/>
        </w:rPr>
        <w:t>sarunu procedūras ar publikāciju</w:t>
      </w:r>
    </w:p>
    <w:p w14:paraId="55E0AC90" w14:textId="77777777" w:rsidR="00374AB7" w:rsidRPr="00BC4BEE" w:rsidRDefault="00374AB7" w:rsidP="00374AB7">
      <w:pPr>
        <w:jc w:val="center"/>
        <w:rPr>
          <w:b/>
          <w:bCs/>
          <w:color w:val="222222"/>
          <w:szCs w:val="24"/>
        </w:rPr>
      </w:pPr>
      <w:r w:rsidRPr="00BC4BEE">
        <w:rPr>
          <w:b/>
          <w:bCs/>
          <w:color w:val="222222"/>
          <w:szCs w:val="24"/>
        </w:rPr>
        <w:t>„Signalizācijas, centralizācijas un bloķēšanas</w:t>
      </w:r>
    </w:p>
    <w:p w14:paraId="2748FF6F" w14:textId="77777777" w:rsidR="00374AB7" w:rsidRPr="00BC4BEE" w:rsidRDefault="00374AB7" w:rsidP="00374AB7">
      <w:pPr>
        <w:jc w:val="center"/>
        <w:rPr>
          <w:rFonts w:eastAsia="Calibri"/>
          <w:b/>
          <w:bCs/>
        </w:rPr>
      </w:pPr>
      <w:r w:rsidRPr="00BC4BEE">
        <w:rPr>
          <w:b/>
          <w:bCs/>
          <w:color w:val="222222"/>
          <w:szCs w:val="24"/>
        </w:rPr>
        <w:t xml:space="preserve"> ierīču </w:t>
      </w:r>
      <w:r w:rsidRPr="00BC4BEE">
        <w:rPr>
          <w:b/>
          <w:bCs/>
          <w:szCs w:val="24"/>
        </w:rPr>
        <w:t>un to rezerves daļu piegāde</w:t>
      </w:r>
      <w:r w:rsidRPr="00BC4BEE">
        <w:rPr>
          <w:b/>
          <w:bCs/>
          <w:color w:val="222222"/>
          <w:szCs w:val="24"/>
        </w:rPr>
        <w:t>”</w:t>
      </w:r>
      <w:r w:rsidRPr="00BC4BEE">
        <w:rPr>
          <w:rFonts w:eastAsia="Calibri"/>
          <w:b/>
          <w:bCs/>
        </w:rPr>
        <w:t xml:space="preserve"> </w:t>
      </w:r>
    </w:p>
    <w:p w14:paraId="367C071D" w14:textId="77777777" w:rsidR="00374AB7" w:rsidRPr="00E64D49" w:rsidRDefault="00374AB7" w:rsidP="00374AB7">
      <w:pPr>
        <w:jc w:val="center"/>
        <w:rPr>
          <w:rFonts w:eastAsia="Calibri"/>
        </w:rPr>
      </w:pPr>
      <w:r w:rsidRPr="00BC4BEE">
        <w:rPr>
          <w:rFonts w:eastAsia="Calibri"/>
        </w:rPr>
        <w:t>(turpmāk – sarunu procedūra)</w:t>
      </w:r>
    </w:p>
    <w:p w14:paraId="4F29A971" w14:textId="77777777" w:rsidR="00374AB7" w:rsidRPr="00E64D49" w:rsidRDefault="00374AB7" w:rsidP="00374AB7">
      <w:pPr>
        <w:ind w:left="284" w:right="282"/>
        <w:rPr>
          <w:rFonts w:eastAsia="Calibri"/>
        </w:rPr>
      </w:pPr>
    </w:p>
    <w:p w14:paraId="0C563FF3" w14:textId="77777777" w:rsidR="00374AB7" w:rsidRPr="00E64D49" w:rsidRDefault="00374AB7" w:rsidP="00374AB7">
      <w:pPr>
        <w:ind w:left="284" w:right="282"/>
        <w:jc w:val="center"/>
        <w:rPr>
          <w:rFonts w:eastAsia="Calibri"/>
          <w:b/>
        </w:rPr>
      </w:pPr>
      <w:r w:rsidRPr="00E64D49">
        <w:rPr>
          <w:rFonts w:eastAsia="Calibri"/>
          <w:b/>
        </w:rPr>
        <w:t>Skaidrojums Nr.</w:t>
      </w:r>
      <w:r>
        <w:rPr>
          <w:rFonts w:eastAsia="Calibri"/>
          <w:b/>
        </w:rPr>
        <w:t>4</w:t>
      </w:r>
    </w:p>
    <w:p w14:paraId="63E01655" w14:textId="77777777" w:rsidR="00374AB7" w:rsidRPr="00E64D49" w:rsidRDefault="00374AB7" w:rsidP="00374AB7">
      <w:pPr>
        <w:ind w:left="284" w:right="282"/>
        <w:jc w:val="center"/>
        <w:rPr>
          <w:rFonts w:eastAsia="Calibri"/>
          <w:b/>
        </w:rPr>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2"/>
        <w:gridCol w:w="4252"/>
      </w:tblGrid>
      <w:tr w:rsidR="00374AB7" w:rsidRPr="00923444" w14:paraId="4B83A8BC" w14:textId="77777777" w:rsidTr="00374AB7">
        <w:trPr>
          <w:trHeight w:val="655"/>
        </w:trPr>
        <w:tc>
          <w:tcPr>
            <w:tcW w:w="709" w:type="dxa"/>
            <w:shd w:val="clear" w:color="auto" w:fill="FFF2CC"/>
            <w:vAlign w:val="center"/>
          </w:tcPr>
          <w:p w14:paraId="26C5988B" w14:textId="77777777" w:rsidR="00374AB7" w:rsidRPr="0099446A" w:rsidRDefault="00374AB7" w:rsidP="008B1A51">
            <w:pPr>
              <w:jc w:val="center"/>
              <w:rPr>
                <w:rFonts w:eastAsia="Calibri"/>
                <w:b/>
              </w:rPr>
            </w:pPr>
            <w:r w:rsidRPr="0099446A">
              <w:rPr>
                <w:rFonts w:eastAsia="Calibri"/>
                <w:b/>
              </w:rPr>
              <w:t>Nr.</w:t>
            </w:r>
          </w:p>
          <w:p w14:paraId="0579C1ED" w14:textId="77777777" w:rsidR="00374AB7" w:rsidRPr="0099446A" w:rsidRDefault="00374AB7" w:rsidP="008B1A51">
            <w:pPr>
              <w:jc w:val="center"/>
              <w:rPr>
                <w:rFonts w:eastAsia="Calibri"/>
                <w:b/>
              </w:rPr>
            </w:pPr>
            <w:r w:rsidRPr="0099446A">
              <w:rPr>
                <w:rFonts w:eastAsia="Calibri"/>
                <w:b/>
              </w:rPr>
              <w:t>p.k.</w:t>
            </w:r>
          </w:p>
        </w:tc>
        <w:tc>
          <w:tcPr>
            <w:tcW w:w="4962" w:type="dxa"/>
            <w:shd w:val="clear" w:color="auto" w:fill="FFF2CC"/>
            <w:vAlign w:val="center"/>
          </w:tcPr>
          <w:p w14:paraId="2B1141C5" w14:textId="77777777" w:rsidR="00374AB7" w:rsidRPr="00E64D49" w:rsidRDefault="00374AB7" w:rsidP="008B1A51">
            <w:pPr>
              <w:jc w:val="center"/>
              <w:rPr>
                <w:rFonts w:eastAsia="Calibri"/>
                <w:b/>
                <w:i/>
              </w:rPr>
            </w:pPr>
            <w:r w:rsidRPr="00E64D49">
              <w:rPr>
                <w:rFonts w:eastAsia="Calibri"/>
                <w:b/>
                <w:i/>
              </w:rPr>
              <w:t>Jautājums</w:t>
            </w:r>
          </w:p>
        </w:tc>
        <w:tc>
          <w:tcPr>
            <w:tcW w:w="4252" w:type="dxa"/>
            <w:shd w:val="clear" w:color="auto" w:fill="FFF2CC"/>
            <w:vAlign w:val="center"/>
          </w:tcPr>
          <w:p w14:paraId="5014DD89" w14:textId="77777777" w:rsidR="00374AB7" w:rsidRPr="00E64D49" w:rsidRDefault="00374AB7" w:rsidP="008B1A51">
            <w:pPr>
              <w:jc w:val="center"/>
              <w:rPr>
                <w:rFonts w:eastAsia="Calibri"/>
                <w:b/>
                <w:i/>
              </w:rPr>
            </w:pPr>
            <w:r w:rsidRPr="00E64D49">
              <w:rPr>
                <w:rFonts w:eastAsia="Calibri"/>
                <w:b/>
                <w:i/>
              </w:rPr>
              <w:t>Atbilde</w:t>
            </w:r>
          </w:p>
        </w:tc>
      </w:tr>
      <w:tr w:rsidR="00374AB7" w:rsidRPr="00923444" w14:paraId="2EA36F2C" w14:textId="77777777" w:rsidTr="00374AB7">
        <w:trPr>
          <w:trHeight w:val="1125"/>
        </w:trPr>
        <w:tc>
          <w:tcPr>
            <w:tcW w:w="709" w:type="dxa"/>
            <w:shd w:val="clear" w:color="auto" w:fill="auto"/>
          </w:tcPr>
          <w:p w14:paraId="14ED1794" w14:textId="77777777" w:rsidR="00374AB7" w:rsidRPr="0099446A" w:rsidRDefault="00374AB7" w:rsidP="008B1A51">
            <w:pPr>
              <w:jc w:val="center"/>
              <w:rPr>
                <w:rFonts w:eastAsia="Calibri"/>
              </w:rPr>
            </w:pPr>
            <w:r w:rsidRPr="0099446A">
              <w:rPr>
                <w:rFonts w:eastAsia="Calibri"/>
              </w:rPr>
              <w:t>1.</w:t>
            </w:r>
          </w:p>
        </w:tc>
        <w:tc>
          <w:tcPr>
            <w:tcW w:w="4962" w:type="dxa"/>
            <w:shd w:val="clear" w:color="auto" w:fill="auto"/>
          </w:tcPr>
          <w:p w14:paraId="66AE5617" w14:textId="77777777" w:rsidR="00374AB7" w:rsidRPr="0099446A" w:rsidRDefault="00374AB7" w:rsidP="008B1A51">
            <w:pPr>
              <w:rPr>
                <w:rFonts w:eastAsia="Times New Roman"/>
                <w:sz w:val="22"/>
                <w:lang w:val="ru-RU"/>
              </w:rPr>
            </w:pPr>
            <w:r w:rsidRPr="0099446A">
              <w:rPr>
                <w:rFonts w:eastAsia="Times New Roman"/>
                <w:lang w:val="ru-RU"/>
              </w:rPr>
              <w:t xml:space="preserve">Просим разделить часть 3 </w:t>
            </w:r>
            <w:r w:rsidRPr="002D75B0">
              <w:rPr>
                <w:color w:val="222222"/>
                <w:szCs w:val="24"/>
              </w:rPr>
              <w:t>„</w:t>
            </w:r>
            <w:r w:rsidRPr="0099446A">
              <w:rPr>
                <w:rFonts w:eastAsia="Times New Roman"/>
                <w:lang w:val="ru-RU"/>
              </w:rPr>
              <w:t>Реле и блоки</w:t>
            </w:r>
            <w:r>
              <w:rPr>
                <w:rFonts w:eastAsia="Times New Roman"/>
              </w:rPr>
              <w:t>”</w:t>
            </w:r>
            <w:r w:rsidRPr="0099446A">
              <w:rPr>
                <w:rFonts w:eastAsia="Times New Roman"/>
                <w:lang w:val="ru-RU"/>
              </w:rPr>
              <w:t xml:space="preserve"> на 2 части, ввиду того, что некоторые позиции являются производства группы компаний Элтеза, которые являются монополистами в данной отрасли производства, так же от них было получено заявление, что коммерческое предложение будет предоставлено только одной компании из холдинга.</w:t>
            </w:r>
          </w:p>
          <w:p w14:paraId="49299B94" w14:textId="77777777" w:rsidR="00374AB7" w:rsidRPr="0099446A" w:rsidRDefault="00374AB7" w:rsidP="008B1A51">
            <w:pPr>
              <w:rPr>
                <w:rFonts w:eastAsia="Times New Roman"/>
                <w:lang w:val="ru-RU"/>
              </w:rPr>
            </w:pPr>
            <w:r w:rsidRPr="0099446A">
              <w:rPr>
                <w:rFonts w:eastAsia="Times New Roman"/>
                <w:lang w:val="ru-RU"/>
              </w:rPr>
              <w:t>Предлагаем, чтобы была конкурентоспособная обстановка </w:t>
            </w:r>
            <w:r>
              <w:rPr>
                <w:rFonts w:eastAsia="Times New Roman"/>
              </w:rPr>
              <w:t xml:space="preserve"> </w:t>
            </w:r>
            <w:r w:rsidRPr="0099446A">
              <w:rPr>
                <w:rFonts w:eastAsia="Times New Roman"/>
                <w:lang w:val="ru-RU"/>
              </w:rPr>
              <w:t>для других участников, выделить</w:t>
            </w:r>
            <w:r>
              <w:rPr>
                <w:rFonts w:eastAsia="Times New Roman"/>
              </w:rPr>
              <w:t xml:space="preserve"> </w:t>
            </w:r>
            <w:r w:rsidRPr="0099446A">
              <w:rPr>
                <w:rFonts w:eastAsia="Times New Roman"/>
                <w:lang w:val="ru-RU"/>
              </w:rPr>
              <w:t>п.3.12, п.3.13, п.3.15, п.3.16, п.3.17, п.3.18, п.3.19 отдельным лотом.</w:t>
            </w:r>
          </w:p>
          <w:p w14:paraId="5C4253D5" w14:textId="77777777" w:rsidR="00374AB7" w:rsidRPr="0099446A" w:rsidRDefault="00374AB7" w:rsidP="008B1A51">
            <w:pPr>
              <w:rPr>
                <w:rFonts w:eastAsia="Times New Roman"/>
                <w:lang w:val="ru-RU"/>
              </w:rPr>
            </w:pPr>
            <w:r w:rsidRPr="0099446A">
              <w:rPr>
                <w:rFonts w:eastAsia="Times New Roman"/>
                <w:lang w:val="ru-RU"/>
              </w:rPr>
              <w:t>Данное разделение предоставит возможность предлагать аналогичное оборудование других производителей и не будет ограничивать конкурентность поставщиков.</w:t>
            </w:r>
          </w:p>
          <w:p w14:paraId="7796EEC3" w14:textId="77777777" w:rsidR="00374AB7" w:rsidRPr="00923444" w:rsidRDefault="00374AB7" w:rsidP="008B1A51">
            <w:pPr>
              <w:rPr>
                <w:highlight w:val="yellow"/>
              </w:rPr>
            </w:pPr>
          </w:p>
          <w:p w14:paraId="7452AD9E" w14:textId="77777777" w:rsidR="00374AB7" w:rsidRPr="00EA0210" w:rsidRDefault="00374AB7" w:rsidP="008B1A51">
            <w:pPr>
              <w:rPr>
                <w:i/>
                <w:iCs/>
                <w:color w:val="3C4043"/>
                <w:szCs w:val="24"/>
              </w:rPr>
            </w:pPr>
            <w:r w:rsidRPr="00EA0210">
              <w:rPr>
                <w:i/>
                <w:iCs/>
                <w:color w:val="3C4043"/>
                <w:szCs w:val="24"/>
              </w:rPr>
              <w:t xml:space="preserve">Lūdzam 3.daļu </w:t>
            </w:r>
            <w:r w:rsidRPr="00EA0210">
              <w:rPr>
                <w:i/>
                <w:iCs/>
                <w:color w:val="222222"/>
                <w:szCs w:val="24"/>
              </w:rPr>
              <w:t>„</w:t>
            </w:r>
            <w:r w:rsidRPr="00EA0210">
              <w:rPr>
                <w:i/>
                <w:iCs/>
                <w:color w:val="3C4043"/>
                <w:szCs w:val="24"/>
              </w:rPr>
              <w:t xml:space="preserve">Releji, bloki” sadalīt 2 daļās, sakarā ar to, ka dažas pozīcijas ražo </w:t>
            </w:r>
            <w:r w:rsidRPr="00465B1A">
              <w:rPr>
                <w:rFonts w:eastAsia="Times New Roman"/>
                <w:i/>
                <w:iCs/>
              </w:rPr>
              <w:t>Элтеза</w:t>
            </w:r>
            <w:r w:rsidRPr="00465B1A">
              <w:rPr>
                <w:i/>
                <w:iCs/>
                <w:color w:val="3C4043"/>
                <w:szCs w:val="24"/>
              </w:rPr>
              <w:t xml:space="preserve"> (Elteza)</w:t>
            </w:r>
            <w:r w:rsidRPr="00EA0210">
              <w:rPr>
                <w:i/>
                <w:iCs/>
                <w:color w:val="3C4043"/>
                <w:szCs w:val="24"/>
              </w:rPr>
              <w:t xml:space="preserve"> uzņēmumu grupa, kas ir monopolisti šajā nozarē, tāpat no viņiem tika saņemts paziņojums, ka komercpiedāvājums tiks sniegts tikai vienam uzņēmumam no holdinga.</w:t>
            </w:r>
          </w:p>
          <w:p w14:paraId="22DB6D21" w14:textId="77777777" w:rsidR="00374AB7" w:rsidRPr="00EA0210" w:rsidRDefault="00374AB7" w:rsidP="008B1A51">
            <w:pPr>
              <w:rPr>
                <w:i/>
                <w:iCs/>
                <w:color w:val="3C4043"/>
                <w:szCs w:val="24"/>
              </w:rPr>
            </w:pPr>
            <w:r w:rsidRPr="00EA0210">
              <w:rPr>
                <w:i/>
                <w:iCs/>
                <w:color w:val="3C4043"/>
                <w:szCs w:val="24"/>
              </w:rPr>
              <w:t>Lai pārējiem dalībniekiem būtu konkurentspējīgi apstākļi, piedāvājam 3.12.punktu, 3.13.punktu, 3.15.punktu, 3.16.punktu, 3.17.punktu, 3.18.punktu, 3.19.punktu izdalīt kā atsevišķu loti.</w:t>
            </w:r>
          </w:p>
          <w:p w14:paraId="56F63FA9" w14:textId="77777777" w:rsidR="00374AB7" w:rsidRPr="00DD6C0C" w:rsidRDefault="00374AB7" w:rsidP="008B1A51">
            <w:pPr>
              <w:rPr>
                <w:i/>
                <w:iCs/>
                <w:szCs w:val="24"/>
                <w:highlight w:val="yellow"/>
              </w:rPr>
            </w:pPr>
            <w:r w:rsidRPr="00EA0210">
              <w:rPr>
                <w:i/>
                <w:iCs/>
                <w:color w:val="3C4043"/>
                <w:szCs w:val="24"/>
              </w:rPr>
              <w:t>Šāda nodalīšana sniegs iespēju piedāvāt līdzīgas (analogas) iekārtas no citiem ražotājiem un neierobežos piegādātāju konkurētspēju.</w:t>
            </w:r>
            <w:r w:rsidRPr="00EA0210">
              <w:rPr>
                <w:i/>
                <w:iCs/>
                <w:szCs w:val="24"/>
                <w:vertAlign w:val="superscript"/>
              </w:rPr>
              <w:t>*</w:t>
            </w:r>
          </w:p>
        </w:tc>
        <w:tc>
          <w:tcPr>
            <w:tcW w:w="4252" w:type="dxa"/>
            <w:shd w:val="clear" w:color="auto" w:fill="auto"/>
          </w:tcPr>
          <w:p w14:paraId="3FF52AD5" w14:textId="77777777" w:rsidR="00374AB7" w:rsidRPr="00BC456C" w:rsidRDefault="00374AB7" w:rsidP="008B1A51">
            <w:pPr>
              <w:rPr>
                <w:szCs w:val="24"/>
              </w:rPr>
            </w:pPr>
            <w:r w:rsidRPr="00BC456C">
              <w:rPr>
                <w:szCs w:val="24"/>
              </w:rPr>
              <w:t>Skaidrojam, ka sarunu procedūras nolikuma tehniskās specifikācijas pozīcijas ir sadalītas iepirkuma priekšmeta daļās (lotēs) atbilstoši to veidiem un pielietošanas jomām. Saskaņā ar sarunu procedūras nolikuma nosacījumiem pasūtītājs neierobežo pretendentu iespējas piedāvāt preces no vairākiem ražotājiem.</w:t>
            </w:r>
            <w:r>
              <w:rPr>
                <w:szCs w:val="24"/>
              </w:rPr>
              <w:t xml:space="preserve"> </w:t>
            </w:r>
            <w:r w:rsidRPr="00523C27">
              <w:rPr>
                <w:szCs w:val="24"/>
              </w:rPr>
              <w:t>Vēršam uzmanību, ka pretendents var piedāvāt sarunu procedūras nolikumā noteiktajām tehniskajām prasībām arī ekvivalentu preci, ievērojot nolikuma 1.9.15.punkta nosacījumus.</w:t>
            </w:r>
            <w:r w:rsidRPr="00BC456C">
              <w:rPr>
                <w:szCs w:val="24"/>
              </w:rPr>
              <w:t xml:space="preserve"> Ņemot vērā, ka pasūtītājs neatbild par preces produkcijas </w:t>
            </w:r>
            <w:r w:rsidRPr="00BC4374">
              <w:rPr>
                <w:szCs w:val="24"/>
              </w:rPr>
              <w:t>ražotāju un potenciālo piegādātāju savstarpējām attiecībām, kā arī par pretendentu iespējām iesniegt piedāvājumu katrai konkrētai sarunu procedūras priekšmeta daļai pilnā apjomā, grozījumi sarunu procedūras nolikuma priekšmeta 3.daļā - „Releji, bloki” netiek veikti.</w:t>
            </w:r>
          </w:p>
          <w:p w14:paraId="3B79118F" w14:textId="77777777" w:rsidR="00374AB7" w:rsidRPr="00923444" w:rsidRDefault="00374AB7" w:rsidP="008B1A51">
            <w:pPr>
              <w:pStyle w:val="Sarakstarindkopa"/>
              <w:tabs>
                <w:tab w:val="left" w:pos="567"/>
              </w:tabs>
              <w:ind w:left="0"/>
              <w:jc w:val="both"/>
              <w:rPr>
                <w:sz w:val="24"/>
                <w:szCs w:val="24"/>
                <w:highlight w:val="yellow"/>
              </w:rPr>
            </w:pPr>
          </w:p>
        </w:tc>
      </w:tr>
    </w:tbl>
    <w:bookmarkEnd w:id="0"/>
    <w:p w14:paraId="67795BAC" w14:textId="2146B67C" w:rsidR="00374AB7" w:rsidRPr="00374AB7" w:rsidRDefault="00374AB7" w:rsidP="00374AB7">
      <w:pPr>
        <w:ind w:left="-709" w:right="-908"/>
        <w:rPr>
          <w:rFonts w:ascii="Arial" w:hAnsi="Arial" w:cs="Arial"/>
        </w:rPr>
      </w:pPr>
      <w:r w:rsidRPr="00FD5ED4">
        <w:rPr>
          <w:i/>
          <w:iCs/>
          <w:sz w:val="20"/>
          <w:szCs w:val="20"/>
          <w:vertAlign w:val="superscript"/>
        </w:rPr>
        <w:t>*</w:t>
      </w:r>
      <w:r w:rsidRPr="00FD5ED4">
        <w:rPr>
          <w:rFonts w:eastAsia="Calibri"/>
          <w:i/>
          <w:iCs/>
          <w:sz w:val="20"/>
          <w:szCs w:val="20"/>
        </w:rPr>
        <w:t>N</w:t>
      </w:r>
      <w:r w:rsidRPr="00FD5ED4">
        <w:rPr>
          <w:i/>
          <w:iCs/>
          <w:sz w:val="20"/>
          <w:szCs w:val="20"/>
        </w:rPr>
        <w:t xml:space="preserve">orādām, ka ieinteresētais piegādātājs iesniedza dokumentu ar jautājumu par sarunu procedūras nolikuma prasībām krievu valodā un bez attiecīga tulkojuma latviešu valodā, neievērojot </w:t>
      </w:r>
      <w:r w:rsidRPr="00FD5ED4">
        <w:rPr>
          <w:i/>
          <w:iCs/>
          <w:color w:val="333333"/>
          <w:sz w:val="20"/>
          <w:szCs w:val="20"/>
        </w:rPr>
        <w:t xml:space="preserve">sarunu procedūras nolikuma 1.7.3.punkta nosacījumus. Dokumentu </w:t>
      </w:r>
      <w:r w:rsidRPr="00FD5ED4">
        <w:rPr>
          <w:i/>
          <w:iCs/>
          <w:sz w:val="20"/>
          <w:szCs w:val="20"/>
        </w:rPr>
        <w:t xml:space="preserve">iesniegšana svešvalodā un bez tulkojuma kopumā var ietekmēt izpratni par ieinteresētā piegādātāja sniegtās informācijas saturu, līdz ar to - arī izsmeļošas un kvalitatīvas atbildes sagatavošanu. Vēršam uzmanību, ka pasūtītājam nav pienākums sniegt atbildes neatbilstoši iesniegtiem informācijas pieprasījumiem. Attiecīgi, šajā gadījumā, atbilde tiek sniegta, taču </w:t>
      </w:r>
      <w:r w:rsidRPr="00FD5ED4">
        <w:rPr>
          <w:b/>
          <w:bCs/>
          <w:i/>
          <w:iCs/>
          <w:sz w:val="20"/>
          <w:szCs w:val="20"/>
          <w:u w:val="single"/>
        </w:rPr>
        <w:t>pasūtītājs neatbild par saņemtā dokumenta tulkojumu pareizību.</w:t>
      </w:r>
    </w:p>
    <w:sectPr w:rsidR="00374AB7" w:rsidRPr="00374A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AB7"/>
    <w:rsid w:val="003204EA"/>
    <w:rsid w:val="00374AB7"/>
    <w:rsid w:val="005358E9"/>
    <w:rsid w:val="0098236C"/>
    <w:rsid w:val="00C20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3D578"/>
  <w15:chartTrackingRefBased/>
  <w15:docId w15:val="{B6CAA3ED-4CC3-4025-AE0B-8C34CA143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74AB7"/>
    <w:pPr>
      <w:spacing w:after="0" w:line="240" w:lineRule="auto"/>
      <w:jc w:val="both"/>
    </w:pPr>
    <w:rPr>
      <w:rFonts w:ascii="Times New Roman"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uiPriority w:val="34"/>
    <w:qFormat/>
    <w:rsid w:val="00374AB7"/>
    <w:pPr>
      <w:ind w:left="720"/>
      <w:contextualSpacing/>
      <w:jc w:val="left"/>
    </w:pPr>
    <w:rPr>
      <w:rFonts w:eastAsia="Calibri"/>
      <w:sz w:val="20"/>
      <w:szCs w:val="20"/>
      <w:lang w:eastAsia="lv-LV"/>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374AB7"/>
    <w:rPr>
      <w:rFonts w:ascii="Times New Roman" w:eastAsia="Calibri"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1904</Words>
  <Characters>1086</Characters>
  <Application>Microsoft Office Word</Application>
  <DocSecurity>0</DocSecurity>
  <Lines>9</Lines>
  <Paragraphs>5</Paragraphs>
  <ScaleCrop>false</ScaleCrop>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2022-05-02T13:08:00Z</dcterms:created>
  <dcterms:modified xsi:type="dcterms:W3CDTF">2022-05-02T13:08:00Z</dcterms:modified>
</cp:coreProperties>
</file>