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759A7" w14:textId="77777777" w:rsidR="0083114B" w:rsidRPr="00AB3184" w:rsidRDefault="0083114B" w:rsidP="0083114B">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2557075A" w14:textId="61481087" w:rsidR="0083114B" w:rsidRPr="008951BD" w:rsidRDefault="0083114B" w:rsidP="0083114B">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20.maija</w:t>
      </w:r>
      <w:r w:rsidRPr="008951BD">
        <w:rPr>
          <w:rFonts w:eastAsia="Arial Unicode MS"/>
          <w:i/>
          <w:szCs w:val="24"/>
          <w:lang w:eastAsia="lv-LV"/>
        </w:rPr>
        <w:t xml:space="preserve"> </w:t>
      </w:r>
    </w:p>
    <w:p w14:paraId="16C1DD91" w14:textId="676F62AA" w:rsidR="0083114B" w:rsidRDefault="0083114B" w:rsidP="0083114B">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5</w:t>
      </w:r>
    </w:p>
    <w:p w14:paraId="140D2841" w14:textId="5D0F495A" w:rsidR="0098236C" w:rsidRDefault="0098236C">
      <w:pPr>
        <w:rPr>
          <w:rFonts w:ascii="Arial" w:hAnsi="Arial" w:cs="Arial"/>
        </w:rPr>
      </w:pPr>
    </w:p>
    <w:p w14:paraId="2E7DF6CF" w14:textId="4CCBE655" w:rsidR="0083114B" w:rsidRDefault="0083114B">
      <w:pPr>
        <w:rPr>
          <w:rFonts w:ascii="Arial" w:hAnsi="Arial" w:cs="Arial"/>
        </w:rPr>
      </w:pPr>
    </w:p>
    <w:p w14:paraId="4550216C" w14:textId="77777777" w:rsidR="0083114B" w:rsidRDefault="0083114B">
      <w:pPr>
        <w:rPr>
          <w:rFonts w:ascii="Arial" w:hAnsi="Arial" w:cs="Arial"/>
        </w:rPr>
      </w:pPr>
    </w:p>
    <w:p w14:paraId="20929716" w14:textId="77777777" w:rsidR="0083114B" w:rsidRPr="006377DC" w:rsidRDefault="0083114B" w:rsidP="0083114B">
      <w:pPr>
        <w:jc w:val="center"/>
        <w:rPr>
          <w:b/>
        </w:rPr>
      </w:pPr>
      <w:r w:rsidRPr="006377DC">
        <w:rPr>
          <w:b/>
        </w:rPr>
        <w:t>VAS </w:t>
      </w:r>
      <w:r w:rsidRPr="006377DC">
        <w:rPr>
          <w:b/>
          <w:color w:val="222222"/>
        </w:rPr>
        <w:t>„</w:t>
      </w:r>
      <w:r w:rsidRPr="006377DC">
        <w:rPr>
          <w:b/>
        </w:rPr>
        <w:t xml:space="preserve">Latvijas dzelzceļš” </w:t>
      </w:r>
    </w:p>
    <w:p w14:paraId="32BAE2DC" w14:textId="77777777" w:rsidR="0083114B" w:rsidRPr="006377DC" w:rsidRDefault="0083114B" w:rsidP="0083114B">
      <w:pPr>
        <w:ind w:left="142" w:right="-1"/>
        <w:jc w:val="center"/>
        <w:rPr>
          <w:b/>
        </w:rPr>
      </w:pPr>
      <w:r w:rsidRPr="006377DC">
        <w:rPr>
          <w:b/>
        </w:rPr>
        <w:t>sarunu procedūras ar publikāciju</w:t>
      </w:r>
    </w:p>
    <w:p w14:paraId="469DF0C8" w14:textId="77777777" w:rsidR="0083114B" w:rsidRPr="006377DC" w:rsidRDefault="0083114B" w:rsidP="0083114B">
      <w:pPr>
        <w:jc w:val="center"/>
        <w:rPr>
          <w:b/>
          <w:bCs/>
          <w:szCs w:val="24"/>
        </w:rPr>
      </w:pPr>
      <w:r w:rsidRPr="006377DC">
        <w:rPr>
          <w:b/>
          <w:bCs/>
          <w:color w:val="222222"/>
          <w:szCs w:val="24"/>
        </w:rPr>
        <w:t>„</w:t>
      </w:r>
      <w:r w:rsidRPr="006377DC">
        <w:rPr>
          <w:b/>
          <w:bCs/>
          <w:szCs w:val="24"/>
        </w:rPr>
        <w:t>Lokomotīvju videonovērošanas sistēmu (LVNS) piegāde</w:t>
      </w:r>
    </w:p>
    <w:p w14:paraId="342B00D9" w14:textId="77777777" w:rsidR="0083114B" w:rsidRPr="006377DC" w:rsidRDefault="0083114B" w:rsidP="0083114B">
      <w:pPr>
        <w:jc w:val="center"/>
        <w:rPr>
          <w:b/>
          <w:bCs/>
          <w:szCs w:val="24"/>
        </w:rPr>
      </w:pPr>
      <w:r w:rsidRPr="006377DC">
        <w:rPr>
          <w:b/>
          <w:bCs/>
          <w:szCs w:val="24"/>
        </w:rPr>
        <w:t xml:space="preserve"> un uzstādīšana SIA „LDZ CARGO” vajadzībām”</w:t>
      </w:r>
    </w:p>
    <w:p w14:paraId="70CC56A7" w14:textId="77777777" w:rsidR="0083114B" w:rsidRPr="006377DC" w:rsidRDefault="0083114B" w:rsidP="0083114B">
      <w:pPr>
        <w:ind w:left="284" w:right="282"/>
        <w:rPr>
          <w:rFonts w:eastAsia="Calibri"/>
        </w:rPr>
      </w:pPr>
    </w:p>
    <w:p w14:paraId="6A252BFE" w14:textId="77777777" w:rsidR="0083114B" w:rsidRPr="006377DC" w:rsidRDefault="0083114B" w:rsidP="0083114B">
      <w:pPr>
        <w:ind w:left="284" w:right="282"/>
        <w:jc w:val="center"/>
        <w:rPr>
          <w:rFonts w:eastAsia="Calibri"/>
          <w:b/>
        </w:rPr>
      </w:pPr>
      <w:r w:rsidRPr="006377DC">
        <w:rPr>
          <w:rFonts w:eastAsia="Calibri"/>
          <w:b/>
        </w:rPr>
        <w:t>Skaidrojums Nr.4</w:t>
      </w:r>
    </w:p>
    <w:p w14:paraId="2F159BB2" w14:textId="77777777" w:rsidR="0083114B" w:rsidRPr="006377DC" w:rsidRDefault="0083114B" w:rsidP="0083114B">
      <w:pPr>
        <w:ind w:left="284" w:right="282"/>
        <w:jc w:val="center"/>
        <w:rPr>
          <w:rFonts w:eastAsia="Calibri"/>
          <w:b/>
          <w:highlight w:val="yellow"/>
        </w:rPr>
      </w:pPr>
    </w:p>
    <w:tbl>
      <w:tblPr>
        <w:tblW w:w="101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4591"/>
      </w:tblGrid>
      <w:tr w:rsidR="0083114B" w:rsidRPr="006377DC" w14:paraId="650A6B8A" w14:textId="77777777" w:rsidTr="0083114B">
        <w:trPr>
          <w:trHeight w:val="476"/>
        </w:trPr>
        <w:tc>
          <w:tcPr>
            <w:tcW w:w="709" w:type="dxa"/>
            <w:shd w:val="clear" w:color="auto" w:fill="FFF2CC"/>
            <w:vAlign w:val="center"/>
          </w:tcPr>
          <w:p w14:paraId="6B02CF22" w14:textId="77777777" w:rsidR="0083114B" w:rsidRPr="006377DC" w:rsidRDefault="0083114B" w:rsidP="0034566A">
            <w:pPr>
              <w:contextualSpacing/>
              <w:jc w:val="center"/>
              <w:rPr>
                <w:rFonts w:eastAsia="Calibri"/>
                <w:b/>
              </w:rPr>
            </w:pPr>
            <w:r w:rsidRPr="006377DC">
              <w:rPr>
                <w:rFonts w:eastAsia="Calibri"/>
                <w:b/>
              </w:rPr>
              <w:t>Nr.</w:t>
            </w:r>
          </w:p>
          <w:p w14:paraId="65D13287" w14:textId="77777777" w:rsidR="0083114B" w:rsidRPr="006377DC" w:rsidRDefault="0083114B" w:rsidP="0034566A">
            <w:pPr>
              <w:contextualSpacing/>
              <w:jc w:val="center"/>
              <w:rPr>
                <w:rFonts w:eastAsia="Calibri"/>
                <w:b/>
              </w:rPr>
            </w:pPr>
            <w:r w:rsidRPr="006377DC">
              <w:rPr>
                <w:rFonts w:eastAsia="Calibri"/>
                <w:b/>
              </w:rPr>
              <w:t>p.k.</w:t>
            </w:r>
          </w:p>
        </w:tc>
        <w:tc>
          <w:tcPr>
            <w:tcW w:w="4820" w:type="dxa"/>
            <w:shd w:val="clear" w:color="auto" w:fill="FFF2CC"/>
            <w:vAlign w:val="center"/>
          </w:tcPr>
          <w:p w14:paraId="258C4388" w14:textId="77777777" w:rsidR="0083114B" w:rsidRPr="006377DC" w:rsidRDefault="0083114B" w:rsidP="0034566A">
            <w:pPr>
              <w:contextualSpacing/>
              <w:jc w:val="center"/>
              <w:rPr>
                <w:rFonts w:eastAsia="Calibri"/>
                <w:b/>
                <w:i/>
              </w:rPr>
            </w:pPr>
            <w:r w:rsidRPr="006377DC">
              <w:rPr>
                <w:rFonts w:eastAsia="Calibri"/>
                <w:b/>
                <w:i/>
              </w:rPr>
              <w:t>Jautājums</w:t>
            </w:r>
          </w:p>
        </w:tc>
        <w:tc>
          <w:tcPr>
            <w:tcW w:w="4591" w:type="dxa"/>
            <w:shd w:val="clear" w:color="auto" w:fill="FFF2CC"/>
            <w:vAlign w:val="center"/>
          </w:tcPr>
          <w:p w14:paraId="11076DC2" w14:textId="77777777" w:rsidR="0083114B" w:rsidRPr="006377DC" w:rsidRDefault="0083114B" w:rsidP="0034566A">
            <w:pPr>
              <w:contextualSpacing/>
              <w:jc w:val="center"/>
              <w:rPr>
                <w:rFonts w:eastAsia="Calibri"/>
                <w:b/>
                <w:i/>
              </w:rPr>
            </w:pPr>
            <w:r w:rsidRPr="006377DC">
              <w:rPr>
                <w:rFonts w:eastAsia="Calibri"/>
                <w:b/>
                <w:i/>
              </w:rPr>
              <w:t>Atbilde</w:t>
            </w:r>
          </w:p>
        </w:tc>
      </w:tr>
      <w:tr w:rsidR="0083114B" w:rsidRPr="006377DC" w14:paraId="35E34828" w14:textId="77777777" w:rsidTr="0083114B">
        <w:trPr>
          <w:trHeight w:val="301"/>
        </w:trPr>
        <w:tc>
          <w:tcPr>
            <w:tcW w:w="709" w:type="dxa"/>
            <w:shd w:val="clear" w:color="auto" w:fill="auto"/>
          </w:tcPr>
          <w:p w14:paraId="5BCC7296" w14:textId="77777777" w:rsidR="0083114B" w:rsidRPr="006377DC" w:rsidRDefault="0083114B" w:rsidP="0034566A">
            <w:pPr>
              <w:contextualSpacing/>
              <w:jc w:val="center"/>
              <w:rPr>
                <w:rFonts w:eastAsia="Calibri"/>
              </w:rPr>
            </w:pPr>
            <w:r w:rsidRPr="006377DC">
              <w:rPr>
                <w:rFonts w:eastAsia="Calibri"/>
              </w:rPr>
              <w:t>1.</w:t>
            </w:r>
          </w:p>
        </w:tc>
        <w:tc>
          <w:tcPr>
            <w:tcW w:w="4820" w:type="dxa"/>
            <w:shd w:val="clear" w:color="auto" w:fill="auto"/>
          </w:tcPr>
          <w:p w14:paraId="4D54BC15" w14:textId="77777777" w:rsidR="0083114B" w:rsidRPr="005746DC" w:rsidRDefault="0083114B" w:rsidP="0034566A">
            <w:pPr>
              <w:rPr>
                <w:szCs w:val="24"/>
                <w:lang w:val="en-US"/>
              </w:rPr>
            </w:pPr>
            <w:r w:rsidRPr="005746DC">
              <w:rPr>
                <w:rFonts w:eastAsia="Arial Unicode MS"/>
                <w:szCs w:val="24"/>
                <w:lang w:val="en-US"/>
              </w:rPr>
              <w:t>[…]</w:t>
            </w:r>
            <w:r w:rsidRPr="005746DC">
              <w:rPr>
                <w:szCs w:val="24"/>
                <w:lang w:val="en-US"/>
              </w:rPr>
              <w:t xml:space="preserve"> as a company focuses on effectiveness and security of railway transportation. In our experience we’ve provided multiple security solutions for our clients in Europe. </w:t>
            </w:r>
          </w:p>
          <w:p w14:paraId="46C0586E" w14:textId="77777777" w:rsidR="0083114B" w:rsidRPr="005746DC" w:rsidRDefault="0083114B" w:rsidP="0034566A">
            <w:pPr>
              <w:rPr>
                <w:szCs w:val="24"/>
                <w:lang w:val="en-US"/>
              </w:rPr>
            </w:pPr>
            <w:r w:rsidRPr="005746DC">
              <w:rPr>
                <w:szCs w:val="24"/>
                <w:lang w:val="en-US"/>
              </w:rPr>
              <w:t xml:space="preserve">We kindly ask to reconsider the need for AES-128 data encryption in the procurement </w:t>
            </w:r>
            <w:r w:rsidRPr="005746DC">
              <w:rPr>
                <w:szCs w:val="24"/>
              </w:rPr>
              <w:t>Sarunu procedūras ar publikāciju „Lokomotīvju videonovērošanas sistēmu (LVNS) piegāde un uzstādīšana</w:t>
            </w:r>
            <w:r w:rsidRPr="005746DC">
              <w:rPr>
                <w:szCs w:val="24"/>
                <w:lang w:val="en-US"/>
              </w:rPr>
              <w:t xml:space="preserve"> SIA „LDZ CARGO” </w:t>
            </w:r>
            <w:proofErr w:type="spellStart"/>
            <w:r w:rsidRPr="005746DC">
              <w:rPr>
                <w:szCs w:val="24"/>
                <w:lang w:val="en-US"/>
              </w:rPr>
              <w:t>vajadzībām</w:t>
            </w:r>
            <w:proofErr w:type="spellEnd"/>
            <w:r w:rsidRPr="005746DC">
              <w:rPr>
                <w:szCs w:val="24"/>
                <w:lang w:val="en-US"/>
              </w:rPr>
              <w:t xml:space="preserve">” as for in our experience the requirements for the IK07 enclosure and lockable data drive fully meet the safety requirements along with the GDPR and the certain technical process arranged by the User to safely operate the system. </w:t>
            </w:r>
          </w:p>
          <w:p w14:paraId="5C0D55E4" w14:textId="77777777" w:rsidR="0083114B" w:rsidRPr="005746DC" w:rsidRDefault="0083114B" w:rsidP="0034566A">
            <w:pPr>
              <w:rPr>
                <w:szCs w:val="24"/>
                <w:lang w:val="en-US"/>
              </w:rPr>
            </w:pPr>
            <w:r w:rsidRPr="005746DC">
              <w:rPr>
                <w:szCs w:val="24"/>
                <w:lang w:val="en-US"/>
              </w:rPr>
              <w:t>The requirement for AES-128 HDD/SDD data encryption is usually not provided by the world leaders in security system production there for it is a waste of time and financial resources for the production to provide the solution for 23 locomotives. This requirement limits the market opportunities to provide an analogue system according the procurement technical specification.</w:t>
            </w:r>
          </w:p>
          <w:p w14:paraId="06A4F52E" w14:textId="77777777" w:rsidR="0083114B" w:rsidRPr="005746DC" w:rsidRDefault="0083114B" w:rsidP="0034566A">
            <w:pPr>
              <w:rPr>
                <w:szCs w:val="24"/>
                <w:lang w:val="en-US"/>
              </w:rPr>
            </w:pPr>
            <w:r w:rsidRPr="005746DC">
              <w:rPr>
                <w:szCs w:val="24"/>
                <w:lang w:val="en-US"/>
              </w:rPr>
              <w:t>Most of the world leaders in security system production provide end to end AES-256 data encryption which should be the focus on encryption rather than encrypting the SDD or HDD as these drives are highly to be removed upon instalment.</w:t>
            </w:r>
          </w:p>
          <w:p w14:paraId="015EA807" w14:textId="77777777" w:rsidR="0083114B" w:rsidRPr="006377DC" w:rsidRDefault="0083114B" w:rsidP="0034566A">
            <w:pPr>
              <w:contextualSpacing/>
              <w:rPr>
                <w:rFonts w:eastAsia="Times New Roman"/>
                <w:color w:val="000000"/>
                <w:szCs w:val="24"/>
                <w:shd w:val="clear" w:color="auto" w:fill="FFFFFF"/>
              </w:rPr>
            </w:pPr>
          </w:p>
          <w:p w14:paraId="2760BE81" w14:textId="77777777" w:rsidR="0083114B" w:rsidRPr="006377DC" w:rsidRDefault="0083114B" w:rsidP="0034566A">
            <w:pPr>
              <w:pStyle w:val="HTMLiepriekformattais"/>
              <w:jc w:val="both"/>
              <w:rPr>
                <w:rStyle w:val="y2iqfc"/>
                <w:rFonts w:ascii="Times New Roman" w:hAnsi="Times New Roman" w:cs="Times New Roman"/>
                <w:i/>
                <w:iCs/>
                <w:color w:val="202124"/>
                <w:sz w:val="24"/>
                <w:szCs w:val="24"/>
              </w:rPr>
            </w:pPr>
            <w:r w:rsidRPr="006377DC">
              <w:rPr>
                <w:rFonts w:ascii="Times New Roman" w:eastAsia="Arial Unicode MS" w:hAnsi="Times New Roman" w:cs="Times New Roman"/>
                <w:i/>
                <w:iCs/>
                <w:sz w:val="24"/>
                <w:szCs w:val="24"/>
              </w:rPr>
              <w:t>[…]</w:t>
            </w:r>
            <w:r w:rsidRPr="006377DC">
              <w:rPr>
                <w:rStyle w:val="y2iqfc"/>
                <w:rFonts w:ascii="Times New Roman" w:hAnsi="Times New Roman" w:cs="Times New Roman"/>
                <w:i/>
                <w:iCs/>
                <w:color w:val="202124"/>
                <w:sz w:val="24"/>
                <w:szCs w:val="24"/>
              </w:rPr>
              <w:t xml:space="preserve"> kā uzņēmums koncentrējas uz dzelzceļa transporta efektivitāti un drošību. Pēc mūsu pieredzes esam piedāvājuši vairākus drošības risinājumus saviem klientiem Eiropā.</w:t>
            </w:r>
          </w:p>
          <w:p w14:paraId="457929EA" w14:textId="77777777" w:rsidR="0083114B" w:rsidRPr="006377DC" w:rsidRDefault="0083114B" w:rsidP="0034566A">
            <w:pPr>
              <w:pStyle w:val="HTMLiepriekformattais"/>
              <w:jc w:val="both"/>
              <w:rPr>
                <w:rStyle w:val="y2iqfc"/>
                <w:rFonts w:ascii="Times New Roman" w:hAnsi="Times New Roman" w:cs="Times New Roman"/>
                <w:i/>
                <w:iCs/>
                <w:color w:val="202124"/>
                <w:sz w:val="24"/>
                <w:szCs w:val="24"/>
              </w:rPr>
            </w:pPr>
            <w:r w:rsidRPr="006377DC">
              <w:rPr>
                <w:rStyle w:val="y2iqfc"/>
                <w:rFonts w:ascii="Times New Roman" w:hAnsi="Times New Roman" w:cs="Times New Roman"/>
                <w:i/>
                <w:iCs/>
                <w:color w:val="202124"/>
                <w:sz w:val="24"/>
                <w:szCs w:val="24"/>
              </w:rPr>
              <w:lastRenderedPageBreak/>
              <w:t>Lūdzam s</w:t>
            </w:r>
            <w:r w:rsidRPr="006377DC">
              <w:rPr>
                <w:rFonts w:ascii="Times New Roman" w:hAnsi="Times New Roman" w:cs="Times New Roman"/>
                <w:i/>
                <w:iCs/>
                <w:sz w:val="24"/>
                <w:szCs w:val="24"/>
              </w:rPr>
              <w:t xml:space="preserve">arunu procedūras ar publikāciju „Lokomotīvju videonovērošanas sistēmu (LVNS) piegāde un uzstādīšana SIA „LDZ CARGO” vajadzībām” </w:t>
            </w:r>
            <w:r w:rsidRPr="006377DC">
              <w:rPr>
                <w:rStyle w:val="y2iqfc"/>
                <w:rFonts w:ascii="Times New Roman" w:hAnsi="Times New Roman" w:cs="Times New Roman"/>
                <w:i/>
                <w:iCs/>
                <w:color w:val="202124"/>
                <w:sz w:val="24"/>
                <w:szCs w:val="24"/>
              </w:rPr>
              <w:t>nolikumā pārdomāt AES-128 datu šifrēšanas nepieciešamību, ņemot vērā mūsu pieredzi, prasības attiecībā uz korpusu IK07 un bloķējamu datu disku pilnībā atbilst drošības prasībām, kā arī GDPR un noteiktam tehniskam procesam, ko lietotājs organizējis, lai droši operētu ar sistēmu.</w:t>
            </w:r>
          </w:p>
          <w:p w14:paraId="5449CD30" w14:textId="77777777" w:rsidR="0083114B" w:rsidRPr="006377DC" w:rsidRDefault="0083114B" w:rsidP="0034566A">
            <w:pPr>
              <w:pStyle w:val="HTMLiepriekformattais"/>
              <w:jc w:val="both"/>
              <w:rPr>
                <w:rStyle w:val="y2iqfc"/>
                <w:rFonts w:ascii="Times New Roman" w:hAnsi="Times New Roman" w:cs="Times New Roman"/>
                <w:i/>
                <w:iCs/>
                <w:color w:val="202124"/>
                <w:sz w:val="24"/>
                <w:szCs w:val="24"/>
              </w:rPr>
            </w:pPr>
            <w:r w:rsidRPr="006377DC">
              <w:rPr>
                <w:rStyle w:val="y2iqfc"/>
                <w:rFonts w:ascii="Times New Roman" w:hAnsi="Times New Roman" w:cs="Times New Roman"/>
                <w:i/>
                <w:iCs/>
                <w:color w:val="202124"/>
                <w:sz w:val="24"/>
                <w:szCs w:val="24"/>
              </w:rPr>
              <w:t>Prasību pēc AES-128 HDD / SDD datu šifrēšanas pasaules līderi drošības sistēmu ražošanā parasti nenodrošina, jo 23 lokomotīvju risinājuma nodrošināšana ir laika un finanšu resursu izšķiešana. Šī prasība ierobežo tirgus iespējas nodrošināt analogo sistēmu atbilstoši iepirkuma tehniskajai specifikācijai.</w:t>
            </w:r>
          </w:p>
          <w:p w14:paraId="2E517E0F" w14:textId="77777777" w:rsidR="0083114B" w:rsidRPr="006377DC" w:rsidRDefault="0083114B" w:rsidP="0034566A">
            <w:pPr>
              <w:contextualSpacing/>
              <w:rPr>
                <w:i/>
                <w:iCs/>
                <w:color w:val="202124"/>
                <w:szCs w:val="24"/>
              </w:rPr>
            </w:pPr>
            <w:r w:rsidRPr="006377DC">
              <w:rPr>
                <w:rStyle w:val="y2iqfc"/>
                <w:i/>
                <w:iCs/>
                <w:color w:val="202124"/>
                <w:szCs w:val="24"/>
              </w:rPr>
              <w:t>Lielākā daļa pasaules līderu drošības sistēmu ražošanā nodrošina gala AES-256 datu šifrēšanu, kurai galvenā uzmanība jāpievērš šifrēšanai, nevis SDD vai HDD šifrēšanai, jo šie diski ir jānoņem pēc nomaksas.</w:t>
            </w:r>
            <w:r w:rsidRPr="006377DC">
              <w:rPr>
                <w:i/>
                <w:iCs/>
                <w:szCs w:val="24"/>
                <w:vertAlign w:val="superscript"/>
              </w:rPr>
              <w:t>*</w:t>
            </w:r>
          </w:p>
        </w:tc>
        <w:tc>
          <w:tcPr>
            <w:tcW w:w="4591" w:type="dxa"/>
            <w:shd w:val="clear" w:color="auto" w:fill="auto"/>
          </w:tcPr>
          <w:p w14:paraId="075DD434" w14:textId="77777777" w:rsidR="0083114B" w:rsidRPr="004006B3" w:rsidRDefault="0083114B" w:rsidP="0034566A">
            <w:r w:rsidRPr="004006B3">
              <w:lastRenderedPageBreak/>
              <w:t>Skaidrojam, ka datu šifrēšana visa sistēmā (</w:t>
            </w:r>
            <w:proofErr w:type="spellStart"/>
            <w:r w:rsidRPr="004006B3">
              <w:t>end</w:t>
            </w:r>
            <w:proofErr w:type="spellEnd"/>
            <w:r w:rsidRPr="004006B3">
              <w:t xml:space="preserve"> to </w:t>
            </w:r>
            <w:proofErr w:type="spellStart"/>
            <w:r w:rsidRPr="004006B3">
              <w:t>end</w:t>
            </w:r>
            <w:proofErr w:type="spellEnd"/>
            <w:r w:rsidRPr="004006B3">
              <w:t>), izmantojot AES-256 tiks atzīta par līdzvērtīgu tehnoloģisko risinājumu izvirzītajām prasībām.</w:t>
            </w:r>
            <w:r>
              <w:t xml:space="preserve"> </w:t>
            </w:r>
            <w:r w:rsidRPr="004006B3">
              <w:t>Pie šāda risinājuma papildus disku šifrēšana ar AES-128 nav nepieciešama.</w:t>
            </w:r>
          </w:p>
          <w:p w14:paraId="35A27EB2" w14:textId="77777777" w:rsidR="0083114B" w:rsidRPr="006377DC" w:rsidRDefault="0083114B" w:rsidP="0034566A">
            <w:pPr>
              <w:rPr>
                <w:szCs w:val="24"/>
                <w:highlight w:val="yellow"/>
                <w:lang w:eastAsia="lv-LV"/>
              </w:rPr>
            </w:pPr>
          </w:p>
        </w:tc>
      </w:tr>
      <w:tr w:rsidR="0083114B" w:rsidRPr="006377DC" w14:paraId="040735F3" w14:textId="77777777" w:rsidTr="0083114B">
        <w:trPr>
          <w:trHeight w:val="301"/>
        </w:trPr>
        <w:tc>
          <w:tcPr>
            <w:tcW w:w="709" w:type="dxa"/>
            <w:shd w:val="clear" w:color="auto" w:fill="auto"/>
          </w:tcPr>
          <w:p w14:paraId="6B540A09" w14:textId="1423F49A" w:rsidR="0083114B" w:rsidRPr="006377DC" w:rsidRDefault="00DD2CDB" w:rsidP="0034566A">
            <w:pPr>
              <w:contextualSpacing/>
              <w:jc w:val="center"/>
              <w:rPr>
                <w:rFonts w:eastAsia="Calibri"/>
              </w:rPr>
            </w:pPr>
            <w:r>
              <w:rPr>
                <w:rFonts w:eastAsia="Calibri"/>
              </w:rPr>
              <w:t>2.</w:t>
            </w:r>
          </w:p>
        </w:tc>
        <w:tc>
          <w:tcPr>
            <w:tcW w:w="4820" w:type="dxa"/>
            <w:shd w:val="clear" w:color="auto" w:fill="auto"/>
          </w:tcPr>
          <w:p w14:paraId="1211DD81" w14:textId="77777777" w:rsidR="0083114B" w:rsidRPr="006377DC" w:rsidRDefault="0083114B" w:rsidP="0034566A">
            <w:pPr>
              <w:rPr>
                <w:rFonts w:eastAsia="Arial Unicode MS"/>
                <w:szCs w:val="24"/>
              </w:rPr>
            </w:pPr>
            <w:r w:rsidRPr="006377DC">
              <w:rPr>
                <w:rFonts w:eastAsia="Arial Unicode MS"/>
                <w:szCs w:val="24"/>
              </w:rPr>
              <w:t>Prasība:</w:t>
            </w:r>
          </w:p>
          <w:p w14:paraId="526B566F" w14:textId="77777777" w:rsidR="0083114B" w:rsidRPr="006377DC" w:rsidRDefault="0083114B" w:rsidP="0034566A">
            <w:pPr>
              <w:rPr>
                <w:i/>
                <w:iCs/>
                <w:lang w:eastAsia="lv-LV"/>
              </w:rPr>
            </w:pPr>
            <w:r w:rsidRPr="006377DC">
              <w:rPr>
                <w:i/>
                <w:iCs/>
                <w:lang w:eastAsia="lv-LV"/>
              </w:rPr>
              <w:t>6. Datiem uz SSD jābūt šifrētiem, atbilstoši standartam AES-128, vai tam drošības ziņā pielīdzināmam, vai augstākam.</w:t>
            </w:r>
          </w:p>
          <w:p w14:paraId="7ADFBF7B" w14:textId="77777777" w:rsidR="0083114B" w:rsidRPr="006377DC" w:rsidRDefault="0083114B" w:rsidP="0034566A">
            <w:pPr>
              <w:rPr>
                <w:i/>
                <w:iCs/>
                <w:lang w:eastAsia="lv-LV"/>
              </w:rPr>
            </w:pPr>
          </w:p>
          <w:p w14:paraId="74C1C5BF" w14:textId="77777777" w:rsidR="0083114B" w:rsidRPr="006377DC" w:rsidRDefault="0083114B" w:rsidP="0034566A">
            <w:pPr>
              <w:rPr>
                <w:rFonts w:eastAsia="Arial Unicode MS"/>
                <w:i/>
                <w:iCs/>
                <w:szCs w:val="24"/>
              </w:rPr>
            </w:pPr>
            <w:r w:rsidRPr="006377DC">
              <w:rPr>
                <w:lang w:eastAsia="lv-LV"/>
              </w:rPr>
              <w:t>Vai ir iespējams aizvietot datu šifrēšanu ar ierobežotu fizisku pieeju videonovērošanas iekārtām, ievietojot iekārtas metālā komutācijas skapī ar slēdzeni un IK10 aizsardzību?</w:t>
            </w:r>
          </w:p>
        </w:tc>
        <w:tc>
          <w:tcPr>
            <w:tcW w:w="4591" w:type="dxa"/>
            <w:shd w:val="clear" w:color="auto" w:fill="auto"/>
          </w:tcPr>
          <w:p w14:paraId="48CC182A" w14:textId="77777777" w:rsidR="0083114B" w:rsidRPr="00386F9C" w:rsidRDefault="0083114B" w:rsidP="0034566A">
            <w:pPr>
              <w:rPr>
                <w:color w:val="202122"/>
                <w:szCs w:val="24"/>
                <w:shd w:val="clear" w:color="auto" w:fill="FFFFFF"/>
              </w:rPr>
            </w:pPr>
            <w:r w:rsidRPr="00EB5D70">
              <w:rPr>
                <w:szCs w:val="24"/>
                <w:lang w:eastAsia="lv-LV"/>
              </w:rPr>
              <w:t xml:space="preserve">Skaidrojam, ka datu šifrēšana nav aizvietojama ar cieto disku fiziskās aizsardzības līdzekļiem. </w:t>
            </w:r>
            <w:r w:rsidRPr="00EB5D70">
              <w:rPr>
                <w:i/>
                <w:iCs/>
                <w:color w:val="202122"/>
                <w:szCs w:val="24"/>
                <w:shd w:val="clear" w:color="auto" w:fill="FFFFFF"/>
              </w:rPr>
              <w:t>EN 62262</w:t>
            </w:r>
            <w:r w:rsidRPr="00EB5D70">
              <w:rPr>
                <w:color w:val="202122"/>
                <w:szCs w:val="24"/>
                <w:shd w:val="clear" w:color="auto" w:fill="FFFFFF"/>
              </w:rPr>
              <w:t xml:space="preserve"> nosaka IK (</w:t>
            </w:r>
            <w:proofErr w:type="spellStart"/>
            <w:r w:rsidRPr="00EB5D70">
              <w:rPr>
                <w:color w:val="202122"/>
                <w:szCs w:val="24"/>
                <w:shd w:val="clear" w:color="auto" w:fill="FFFFFF"/>
              </w:rPr>
              <w:t>impact</w:t>
            </w:r>
            <w:proofErr w:type="spellEnd"/>
            <w:r w:rsidRPr="00EB5D70">
              <w:rPr>
                <w:color w:val="202122"/>
                <w:szCs w:val="24"/>
                <w:shd w:val="clear" w:color="auto" w:fill="FFFFFF"/>
              </w:rPr>
              <w:t xml:space="preserve"> </w:t>
            </w:r>
            <w:proofErr w:type="spellStart"/>
            <w:r w:rsidRPr="00EB5D70">
              <w:rPr>
                <w:color w:val="202122"/>
                <w:szCs w:val="24"/>
                <w:shd w:val="clear" w:color="auto" w:fill="FFFFFF"/>
              </w:rPr>
              <w:t>protection</w:t>
            </w:r>
            <w:proofErr w:type="spellEnd"/>
            <w:r w:rsidRPr="00EB5D70">
              <w:rPr>
                <w:color w:val="202122"/>
                <w:szCs w:val="24"/>
                <w:shd w:val="clear" w:color="auto" w:fill="FFFFFF"/>
              </w:rPr>
              <w:t>)</w:t>
            </w:r>
            <w:r>
              <w:rPr>
                <w:color w:val="202122"/>
                <w:szCs w:val="24"/>
                <w:shd w:val="clear" w:color="auto" w:fill="FFFFFF"/>
              </w:rPr>
              <w:t xml:space="preserve"> </w:t>
            </w:r>
            <w:r w:rsidRPr="00EB5D70">
              <w:rPr>
                <w:color w:val="202122"/>
                <w:szCs w:val="24"/>
                <w:shd w:val="clear" w:color="auto" w:fill="FFFFFF"/>
              </w:rPr>
              <w:t>reitingus, kas apraksta elektrisko iekārtu  ietvaru spēju pretoties ārējai fiziskai iedarbībai.  </w:t>
            </w:r>
          </w:p>
          <w:p w14:paraId="58C7CCC3" w14:textId="77777777" w:rsidR="0083114B" w:rsidRPr="006377DC" w:rsidRDefault="0083114B" w:rsidP="0034566A">
            <w:pPr>
              <w:rPr>
                <w:color w:val="0070C0"/>
              </w:rPr>
            </w:pPr>
          </w:p>
        </w:tc>
      </w:tr>
      <w:tr w:rsidR="0083114B" w:rsidRPr="006377DC" w14:paraId="0DA30252" w14:textId="77777777" w:rsidTr="0083114B">
        <w:trPr>
          <w:trHeight w:val="301"/>
        </w:trPr>
        <w:tc>
          <w:tcPr>
            <w:tcW w:w="709" w:type="dxa"/>
            <w:shd w:val="clear" w:color="auto" w:fill="auto"/>
          </w:tcPr>
          <w:p w14:paraId="23AD6E57" w14:textId="31747855" w:rsidR="0083114B" w:rsidRPr="006377DC" w:rsidRDefault="00DD2CDB" w:rsidP="0034566A">
            <w:pPr>
              <w:contextualSpacing/>
              <w:jc w:val="center"/>
              <w:rPr>
                <w:rFonts w:eastAsia="Calibri"/>
              </w:rPr>
            </w:pPr>
            <w:r>
              <w:rPr>
                <w:rFonts w:eastAsia="Calibri"/>
              </w:rPr>
              <w:t>3</w:t>
            </w:r>
            <w:r w:rsidR="0083114B" w:rsidRPr="006377DC">
              <w:rPr>
                <w:rFonts w:eastAsia="Calibri"/>
              </w:rPr>
              <w:t>.</w:t>
            </w:r>
          </w:p>
        </w:tc>
        <w:tc>
          <w:tcPr>
            <w:tcW w:w="4820" w:type="dxa"/>
            <w:shd w:val="clear" w:color="auto" w:fill="auto"/>
          </w:tcPr>
          <w:p w14:paraId="4F6EC8E2" w14:textId="77777777" w:rsidR="0083114B" w:rsidRPr="006377DC" w:rsidRDefault="0083114B" w:rsidP="0034566A">
            <w:pPr>
              <w:rPr>
                <w:rFonts w:eastAsia="Arial Unicode MS"/>
                <w:szCs w:val="24"/>
              </w:rPr>
            </w:pPr>
            <w:r w:rsidRPr="006377DC">
              <w:rPr>
                <w:rFonts w:eastAsia="Arial Unicode MS"/>
                <w:szCs w:val="24"/>
              </w:rPr>
              <w:t>Prasība:</w:t>
            </w:r>
          </w:p>
          <w:p w14:paraId="681D78AA" w14:textId="77777777" w:rsidR="0083114B" w:rsidRPr="006377DC" w:rsidRDefault="0083114B" w:rsidP="0034566A">
            <w:pPr>
              <w:rPr>
                <w:i/>
                <w:iCs/>
                <w:lang w:eastAsia="lv-LV"/>
              </w:rPr>
            </w:pPr>
            <w:r w:rsidRPr="006377DC">
              <w:rPr>
                <w:i/>
                <w:iCs/>
                <w:lang w:eastAsia="lv-LV"/>
              </w:rPr>
              <w:t>Nepārtrauktās barošanas bloks - kopā ar citām iekārtām lokomotīvē ir jāuzstāda nepārtrauktās barošanas bloks (UPS), kas spēj videonovērošanas sistēmu uzturēt autonomā režīmā ne mazāk kā 24 stundas.</w:t>
            </w:r>
          </w:p>
          <w:p w14:paraId="4DAB078B" w14:textId="77777777" w:rsidR="0083114B" w:rsidRPr="006377DC" w:rsidRDefault="0083114B" w:rsidP="0034566A">
            <w:pPr>
              <w:rPr>
                <w:i/>
                <w:iCs/>
                <w:lang w:eastAsia="lv-LV"/>
              </w:rPr>
            </w:pPr>
          </w:p>
          <w:p w14:paraId="354D4E04" w14:textId="77777777" w:rsidR="0083114B" w:rsidRPr="006377DC" w:rsidRDefault="0083114B" w:rsidP="0034566A">
            <w:pPr>
              <w:rPr>
                <w:rFonts w:eastAsia="Arial Unicode MS"/>
                <w:i/>
                <w:iCs/>
                <w:szCs w:val="24"/>
              </w:rPr>
            </w:pPr>
            <w:r w:rsidRPr="006377DC">
              <w:rPr>
                <w:lang w:eastAsia="lv-LV"/>
              </w:rPr>
              <w:t>Tā kā lokomotīvēs jau eksistē baterijas, kuras var nodrošināt LVNS nepārtrauktu barošanu, vai tiešām ir lietderīgi izmantot atsevišķu UPS iekārtu ar akumulatoru baterijām, kas būtiski sadārdzina kopējo projektu un aizņem pietiekoši daudz vietas, bez tā ierobežotā lokomotīves kabīnes telpā?</w:t>
            </w:r>
          </w:p>
        </w:tc>
        <w:tc>
          <w:tcPr>
            <w:tcW w:w="4591" w:type="dxa"/>
            <w:shd w:val="clear" w:color="auto" w:fill="auto"/>
          </w:tcPr>
          <w:p w14:paraId="71B6C638" w14:textId="77777777" w:rsidR="0083114B" w:rsidRPr="00500E57" w:rsidRDefault="0083114B" w:rsidP="0034566A">
            <w:pPr>
              <w:rPr>
                <w:szCs w:val="24"/>
              </w:rPr>
            </w:pPr>
            <w:r w:rsidRPr="00500E57">
              <w:rPr>
                <w:szCs w:val="24"/>
              </w:rPr>
              <w:t>Skaidrojam,</w:t>
            </w:r>
            <w:r>
              <w:rPr>
                <w:szCs w:val="24"/>
              </w:rPr>
              <w:t xml:space="preserve"> </w:t>
            </w:r>
            <w:r w:rsidRPr="00500E57">
              <w:rPr>
                <w:szCs w:val="24"/>
              </w:rPr>
              <w:t>ka lokomotīvēs esošās akumulatoru baterijas ir paredzētas lokomotīves dzinēja startera darbināšanai, kā arī elektrotīkla uzturēšanai brīžos, kad dzinējs nestrādā, un nav</w:t>
            </w:r>
            <w:r>
              <w:rPr>
                <w:szCs w:val="24"/>
              </w:rPr>
              <w:t xml:space="preserve"> </w:t>
            </w:r>
            <w:r w:rsidRPr="00500E57">
              <w:rPr>
                <w:szCs w:val="24"/>
              </w:rPr>
              <w:t>izmantojamas papildus aprīkojuma darbināšanai.</w:t>
            </w:r>
          </w:p>
          <w:p w14:paraId="0BDF3939" w14:textId="77777777" w:rsidR="0083114B" w:rsidRPr="006377DC" w:rsidRDefault="0083114B" w:rsidP="0034566A">
            <w:pPr>
              <w:rPr>
                <w:color w:val="0070C0"/>
              </w:rPr>
            </w:pPr>
          </w:p>
        </w:tc>
      </w:tr>
      <w:tr w:rsidR="0083114B" w:rsidRPr="006377DC" w14:paraId="74D02AB3" w14:textId="77777777" w:rsidTr="0083114B">
        <w:trPr>
          <w:trHeight w:val="301"/>
        </w:trPr>
        <w:tc>
          <w:tcPr>
            <w:tcW w:w="709" w:type="dxa"/>
            <w:shd w:val="clear" w:color="auto" w:fill="auto"/>
          </w:tcPr>
          <w:p w14:paraId="419CC99F" w14:textId="196E92C2" w:rsidR="0083114B" w:rsidRPr="006377DC" w:rsidRDefault="00DD2CDB" w:rsidP="0034566A">
            <w:pPr>
              <w:contextualSpacing/>
              <w:jc w:val="center"/>
              <w:rPr>
                <w:rFonts w:eastAsia="Calibri"/>
              </w:rPr>
            </w:pPr>
            <w:r>
              <w:rPr>
                <w:rFonts w:eastAsia="Calibri"/>
              </w:rPr>
              <w:t>4</w:t>
            </w:r>
            <w:r w:rsidR="0083114B" w:rsidRPr="006377DC">
              <w:rPr>
                <w:rFonts w:eastAsia="Calibri"/>
              </w:rPr>
              <w:t>.</w:t>
            </w:r>
          </w:p>
        </w:tc>
        <w:tc>
          <w:tcPr>
            <w:tcW w:w="4820" w:type="dxa"/>
            <w:shd w:val="clear" w:color="auto" w:fill="auto"/>
          </w:tcPr>
          <w:p w14:paraId="36EFBDB1" w14:textId="77777777" w:rsidR="0083114B" w:rsidRPr="006377DC" w:rsidRDefault="0083114B" w:rsidP="0034566A">
            <w:pPr>
              <w:rPr>
                <w:rFonts w:eastAsia="Arial Unicode MS"/>
                <w:szCs w:val="24"/>
              </w:rPr>
            </w:pPr>
            <w:r w:rsidRPr="006377DC">
              <w:rPr>
                <w:rFonts w:eastAsia="Arial Unicode MS"/>
                <w:szCs w:val="24"/>
              </w:rPr>
              <w:t>Prasība:</w:t>
            </w:r>
          </w:p>
          <w:p w14:paraId="264CFC7B" w14:textId="77777777" w:rsidR="0083114B" w:rsidRPr="006377DC" w:rsidRDefault="0083114B" w:rsidP="0034566A">
            <w:pPr>
              <w:rPr>
                <w:i/>
                <w:iCs/>
                <w:lang w:eastAsia="lv-LV"/>
              </w:rPr>
            </w:pPr>
            <w:r w:rsidRPr="006377DC">
              <w:rPr>
                <w:i/>
                <w:iCs/>
                <w:lang w:eastAsia="lv-LV"/>
              </w:rPr>
              <w:t xml:space="preserve">Monitors un kameru pārslēgšanas bloks - lokomotīves vadības kabīnē nepieciešams izvietot monitoru (ekrāna izmērs 17 </w:t>
            </w:r>
            <w:r w:rsidRPr="006377DC">
              <w:rPr>
                <w:i/>
                <w:iCs/>
              </w:rPr>
              <w:t xml:space="preserve">– </w:t>
            </w:r>
            <w:r w:rsidRPr="006377DC">
              <w:rPr>
                <w:i/>
                <w:iCs/>
                <w:lang w:eastAsia="lv-LV"/>
              </w:rPr>
              <w:t xml:space="preserve">19 collas) </w:t>
            </w:r>
            <w:r w:rsidRPr="006377DC">
              <w:rPr>
                <w:i/>
                <w:iCs/>
                <w:lang w:eastAsia="lv-LV"/>
              </w:rPr>
              <w:lastRenderedPageBreak/>
              <w:t>ar stiprinājumiem. Ņemot vērā darba apstākļus lokomotīvē, monitoriem jāatbilst vismaz IP50 sertifikācijai, kā arī jābūt spējīgiem darboties zemas apkārtējās gaisa temperatūras apstākļos (vismaz -20°C).</w:t>
            </w:r>
          </w:p>
          <w:p w14:paraId="727EB19A" w14:textId="77777777" w:rsidR="0083114B" w:rsidRPr="006377DC" w:rsidRDefault="0083114B" w:rsidP="0034566A">
            <w:pPr>
              <w:rPr>
                <w:i/>
                <w:iCs/>
                <w:lang w:eastAsia="lv-LV"/>
              </w:rPr>
            </w:pPr>
          </w:p>
          <w:p w14:paraId="0170669F" w14:textId="77777777" w:rsidR="0083114B" w:rsidRPr="006377DC" w:rsidRDefault="0083114B" w:rsidP="0034566A">
            <w:pPr>
              <w:pStyle w:val="Sarakstarindkopa"/>
              <w:ind w:left="37"/>
              <w:jc w:val="both"/>
              <w:rPr>
                <w:sz w:val="24"/>
                <w:szCs w:val="24"/>
              </w:rPr>
            </w:pPr>
            <w:r w:rsidRPr="006377DC">
              <w:rPr>
                <w:sz w:val="24"/>
                <w:szCs w:val="24"/>
              </w:rPr>
              <w:t>Ar ko pamatota pieprasīta darbības temperatūra monitoram vizmas -20°C, vai lokomotīvē pie -20°C un izslēgta dzinēja ir paredzēts skatīties video attēlu?</w:t>
            </w:r>
          </w:p>
          <w:p w14:paraId="501D9709" w14:textId="77777777" w:rsidR="0083114B" w:rsidRPr="006377DC" w:rsidRDefault="0083114B" w:rsidP="0034566A">
            <w:pPr>
              <w:rPr>
                <w:rFonts w:eastAsia="Arial Unicode MS"/>
                <w:i/>
                <w:iCs/>
                <w:szCs w:val="24"/>
              </w:rPr>
            </w:pPr>
            <w:r w:rsidRPr="006377DC">
              <w:rPr>
                <w:szCs w:val="24"/>
                <w:lang w:eastAsia="lv-LV"/>
              </w:rPr>
              <w:t>Kāpēc minēt</w:t>
            </w:r>
            <w:r>
              <w:rPr>
                <w:szCs w:val="24"/>
                <w:lang w:eastAsia="lv-LV"/>
              </w:rPr>
              <w:t>ā</w:t>
            </w:r>
            <w:r w:rsidRPr="006377DC">
              <w:rPr>
                <w:szCs w:val="24"/>
                <w:lang w:eastAsia="lv-LV"/>
              </w:rPr>
              <w:t xml:space="preserve"> prasība neattiecās arī uz</w:t>
            </w:r>
            <w:r w:rsidRPr="006377DC">
              <w:rPr>
                <w:szCs w:val="24"/>
              </w:rPr>
              <w:t xml:space="preserve"> pārējiem galvenajiem komponentiem: </w:t>
            </w:r>
            <w:r w:rsidRPr="006377DC">
              <w:rPr>
                <w:szCs w:val="24"/>
                <w:lang w:eastAsia="lv-LV"/>
              </w:rPr>
              <w:t>nepārtrauktās barošanas bloks un datu ierakstīšanas un nosūtīšanas ierīce, kuriem arī tādos pašos apstākļos jāsaglabā darbspēju?</w:t>
            </w:r>
            <w:r w:rsidRPr="006377DC">
              <w:rPr>
                <w:lang w:eastAsia="lv-LV"/>
              </w:rPr>
              <w:t xml:space="preserve">  </w:t>
            </w:r>
          </w:p>
        </w:tc>
        <w:tc>
          <w:tcPr>
            <w:tcW w:w="4591" w:type="dxa"/>
            <w:shd w:val="clear" w:color="auto" w:fill="auto"/>
          </w:tcPr>
          <w:p w14:paraId="1A3813BB" w14:textId="77777777" w:rsidR="0083114B" w:rsidRPr="00B80E1E" w:rsidRDefault="0083114B" w:rsidP="0034566A">
            <w:pPr>
              <w:rPr>
                <w:rStyle w:val="normaltextrun"/>
                <w:szCs w:val="24"/>
              </w:rPr>
            </w:pPr>
            <w:r w:rsidRPr="00B80E1E">
              <w:rPr>
                <w:szCs w:val="24"/>
              </w:rPr>
              <w:lastRenderedPageBreak/>
              <w:t>Skaidrojam, ka prasība ir pamatota ar to, ka viss</w:t>
            </w:r>
            <w:r>
              <w:rPr>
                <w:szCs w:val="24"/>
              </w:rPr>
              <w:t xml:space="preserve"> </w:t>
            </w:r>
            <w:r w:rsidRPr="00B80E1E">
              <w:rPr>
                <w:szCs w:val="24"/>
              </w:rPr>
              <w:t>lokomotīves aprīkojums spēj pildīt savas funkcijas</w:t>
            </w:r>
            <w:r>
              <w:rPr>
                <w:szCs w:val="24"/>
              </w:rPr>
              <w:t xml:space="preserve"> </w:t>
            </w:r>
            <w:r w:rsidRPr="00B80E1E">
              <w:rPr>
                <w:szCs w:val="24"/>
              </w:rPr>
              <w:t xml:space="preserve">pie </w:t>
            </w:r>
            <w:r w:rsidRPr="00B80E1E">
              <w:rPr>
                <w:rStyle w:val="normaltextrun"/>
                <w:szCs w:val="24"/>
              </w:rPr>
              <w:t>-20°C  un lokomotīvei uzsākot darbu displeja</w:t>
            </w:r>
            <w:r>
              <w:rPr>
                <w:rStyle w:val="normaltextrun"/>
                <w:szCs w:val="24"/>
              </w:rPr>
              <w:t xml:space="preserve"> </w:t>
            </w:r>
            <w:r w:rsidRPr="00B80E1E">
              <w:rPr>
                <w:rStyle w:val="normaltextrun"/>
                <w:szCs w:val="24"/>
              </w:rPr>
              <w:t>un</w:t>
            </w:r>
            <w:r>
              <w:rPr>
                <w:rStyle w:val="normaltextrun"/>
                <w:szCs w:val="24"/>
              </w:rPr>
              <w:t xml:space="preserve"> </w:t>
            </w:r>
            <w:r w:rsidRPr="00B80E1E">
              <w:rPr>
                <w:rStyle w:val="normaltextrun"/>
                <w:szCs w:val="24"/>
              </w:rPr>
              <w:t>tā</w:t>
            </w:r>
            <w:r>
              <w:rPr>
                <w:rStyle w:val="normaltextrun"/>
                <w:szCs w:val="24"/>
              </w:rPr>
              <w:t xml:space="preserve"> </w:t>
            </w:r>
            <w:r w:rsidRPr="00B80E1E">
              <w:rPr>
                <w:rStyle w:val="normaltextrun"/>
                <w:szCs w:val="24"/>
              </w:rPr>
              <w:t xml:space="preserve">stiprinājumu     </w:t>
            </w:r>
            <w:r w:rsidRPr="00B80E1E">
              <w:rPr>
                <w:rStyle w:val="normaltextrun"/>
                <w:szCs w:val="24"/>
              </w:rPr>
              <w:lastRenderedPageBreak/>
              <w:t>temperatūra arī būs  -20°C,  un tas sasils kopā ar visu esošo lokomotīves aprīkojumu.</w:t>
            </w:r>
          </w:p>
          <w:p w14:paraId="7459BB9B" w14:textId="77777777" w:rsidR="0083114B" w:rsidRPr="00B80E1E" w:rsidRDefault="0083114B" w:rsidP="0034566A">
            <w:pPr>
              <w:rPr>
                <w:rStyle w:val="normaltextrun"/>
                <w:szCs w:val="24"/>
              </w:rPr>
            </w:pPr>
            <w:r w:rsidRPr="00B80E1E">
              <w:rPr>
                <w:rStyle w:val="normaltextrun"/>
                <w:szCs w:val="24"/>
              </w:rPr>
              <w:t>Minētā prasība ir attiecināma uz visām sistēmas komponentēm, kuras nav paredzētas noņemšanai lokomotīves</w:t>
            </w:r>
            <w:r>
              <w:rPr>
                <w:rStyle w:val="normaltextrun"/>
                <w:szCs w:val="24"/>
              </w:rPr>
              <w:t xml:space="preserve"> </w:t>
            </w:r>
            <w:r w:rsidRPr="00B80E1E">
              <w:rPr>
                <w:rStyle w:val="normaltextrun"/>
                <w:szCs w:val="24"/>
              </w:rPr>
              <w:t>dīkstāves vai remonta darbu laikā.</w:t>
            </w:r>
          </w:p>
          <w:p w14:paraId="317F1EDF" w14:textId="77777777" w:rsidR="0083114B" w:rsidRPr="006377DC" w:rsidRDefault="0083114B" w:rsidP="0034566A">
            <w:pPr>
              <w:rPr>
                <w:color w:val="0070C0"/>
              </w:rPr>
            </w:pPr>
          </w:p>
        </w:tc>
      </w:tr>
      <w:tr w:rsidR="0083114B" w:rsidRPr="006377DC" w14:paraId="096FD87A" w14:textId="77777777" w:rsidTr="0083114B">
        <w:trPr>
          <w:trHeight w:val="301"/>
        </w:trPr>
        <w:tc>
          <w:tcPr>
            <w:tcW w:w="709" w:type="dxa"/>
            <w:shd w:val="clear" w:color="auto" w:fill="auto"/>
          </w:tcPr>
          <w:p w14:paraId="7102FF20" w14:textId="3755B15C" w:rsidR="0083114B" w:rsidRPr="006377DC" w:rsidRDefault="00DD2CDB" w:rsidP="0034566A">
            <w:pPr>
              <w:contextualSpacing/>
              <w:jc w:val="center"/>
              <w:rPr>
                <w:rFonts w:eastAsia="Calibri"/>
              </w:rPr>
            </w:pPr>
            <w:r>
              <w:rPr>
                <w:rFonts w:eastAsia="Calibri"/>
              </w:rPr>
              <w:lastRenderedPageBreak/>
              <w:t>5</w:t>
            </w:r>
            <w:r w:rsidR="0083114B" w:rsidRPr="006377DC">
              <w:rPr>
                <w:rFonts w:eastAsia="Calibri"/>
              </w:rPr>
              <w:t>.</w:t>
            </w:r>
          </w:p>
        </w:tc>
        <w:tc>
          <w:tcPr>
            <w:tcW w:w="4820" w:type="dxa"/>
            <w:shd w:val="clear" w:color="auto" w:fill="auto"/>
          </w:tcPr>
          <w:p w14:paraId="1B025042" w14:textId="77777777" w:rsidR="0083114B" w:rsidRPr="006377DC" w:rsidRDefault="0083114B" w:rsidP="0034566A">
            <w:pPr>
              <w:rPr>
                <w:rFonts w:eastAsia="Arial Unicode MS"/>
                <w:szCs w:val="24"/>
              </w:rPr>
            </w:pPr>
            <w:r w:rsidRPr="006377DC">
              <w:rPr>
                <w:rFonts w:eastAsia="Arial Unicode MS"/>
                <w:szCs w:val="24"/>
              </w:rPr>
              <w:t>Prasība:</w:t>
            </w:r>
          </w:p>
          <w:p w14:paraId="42CDC187" w14:textId="77777777" w:rsidR="0083114B" w:rsidRPr="006377DC" w:rsidRDefault="0083114B" w:rsidP="0034566A">
            <w:pPr>
              <w:rPr>
                <w:i/>
                <w:iCs/>
                <w:lang w:eastAsia="lv-LV"/>
              </w:rPr>
            </w:pPr>
            <w:r w:rsidRPr="006377DC">
              <w:rPr>
                <w:i/>
                <w:iCs/>
                <w:lang w:eastAsia="lv-LV"/>
              </w:rPr>
              <w:t xml:space="preserve">Videokameru izvietojums - viena lokomotīves priekšā un viena – aizmugurē, tā lai attēla apakšējā daļā būtu redzama </w:t>
            </w:r>
            <w:proofErr w:type="spellStart"/>
            <w:r w:rsidRPr="006377DC">
              <w:rPr>
                <w:i/>
                <w:iCs/>
                <w:lang w:eastAsia="lv-LV"/>
              </w:rPr>
              <w:t>autosakabe</w:t>
            </w:r>
            <w:proofErr w:type="spellEnd"/>
            <w:r w:rsidRPr="006377DC">
              <w:rPr>
                <w:i/>
                <w:iCs/>
                <w:lang w:eastAsia="lv-LV"/>
              </w:rPr>
              <w:t xml:space="preserve"> (ar platleņķa lēcu 120</w:t>
            </w:r>
            <w:r w:rsidRPr="006377DC">
              <w:rPr>
                <w:i/>
                <w:iCs/>
                <w:vertAlign w:val="superscript"/>
                <w:lang w:eastAsia="lv-LV"/>
              </w:rPr>
              <w:t>⸰</w:t>
            </w:r>
            <w:r w:rsidRPr="006377DC">
              <w:rPr>
                <w:i/>
                <w:iCs/>
                <w:lang w:eastAsia="lv-LV"/>
              </w:rPr>
              <w:t>).</w:t>
            </w:r>
          </w:p>
          <w:p w14:paraId="6A8631CE" w14:textId="77777777" w:rsidR="0083114B" w:rsidRPr="006377DC" w:rsidRDefault="0083114B" w:rsidP="0034566A">
            <w:pPr>
              <w:rPr>
                <w:i/>
                <w:iCs/>
                <w:lang w:eastAsia="lv-LV"/>
              </w:rPr>
            </w:pPr>
          </w:p>
          <w:p w14:paraId="39319CE7" w14:textId="77777777" w:rsidR="0083114B" w:rsidRPr="006377DC" w:rsidRDefault="0083114B" w:rsidP="0034566A">
            <w:r w:rsidRPr="006377DC">
              <w:t>Kā tiek noteikts nepieciešamais leņķis – horizontāli vai pa diagonāli?</w:t>
            </w:r>
          </w:p>
          <w:p w14:paraId="3F5D276E" w14:textId="77777777" w:rsidR="0083114B" w:rsidRPr="006377DC" w:rsidRDefault="0083114B" w:rsidP="0034566A">
            <w:r w:rsidRPr="006377DC">
              <w:t>Ja leņķis tiek noteikts horizontāli, vai ir pieļaujams samazināt prasību no prasītajiem 120</w:t>
            </w:r>
            <w:r w:rsidRPr="006377DC">
              <w:rPr>
                <w:vertAlign w:val="superscript"/>
                <w:lang w:eastAsia="lv-LV"/>
              </w:rPr>
              <w:t>⸰</w:t>
            </w:r>
            <w:r w:rsidRPr="006377DC">
              <w:t xml:space="preserve"> līdz 106</w:t>
            </w:r>
            <w:r w:rsidRPr="006377DC">
              <w:rPr>
                <w:vertAlign w:val="superscript"/>
                <w:lang w:eastAsia="lv-LV"/>
              </w:rPr>
              <w:t>⸰</w:t>
            </w:r>
            <w:r w:rsidRPr="006377DC">
              <w:t>?</w:t>
            </w:r>
          </w:p>
        </w:tc>
        <w:tc>
          <w:tcPr>
            <w:tcW w:w="4591" w:type="dxa"/>
            <w:shd w:val="clear" w:color="auto" w:fill="auto"/>
          </w:tcPr>
          <w:p w14:paraId="73BE74CF" w14:textId="77777777" w:rsidR="0083114B" w:rsidRPr="00914C1E" w:rsidRDefault="0083114B" w:rsidP="0034566A">
            <w:pPr>
              <w:rPr>
                <w:rStyle w:val="normaltextrun"/>
                <w:szCs w:val="24"/>
              </w:rPr>
            </w:pPr>
            <w:r w:rsidRPr="00914C1E">
              <w:rPr>
                <w:szCs w:val="24"/>
              </w:rPr>
              <w:t xml:space="preserve">Skaidrojam, ka nepieciešamais leņķis tiek noteikts horizontālajā plaknē un leņķa atkāpe no </w:t>
            </w:r>
            <w:r w:rsidRPr="00914C1E">
              <w:rPr>
                <w:rStyle w:val="normaltextrun"/>
                <w:color w:val="000000"/>
                <w:szCs w:val="24"/>
                <w:shd w:val="clear" w:color="auto" w:fill="FFFFFF"/>
              </w:rPr>
              <w:t>120</w:t>
            </w:r>
            <w:r w:rsidRPr="00914C1E">
              <w:rPr>
                <w:rStyle w:val="normaltextrun"/>
                <w:color w:val="000000"/>
                <w:szCs w:val="24"/>
                <w:shd w:val="clear" w:color="auto" w:fill="FFFFFF"/>
                <w:vertAlign w:val="superscript"/>
              </w:rPr>
              <w:t>⸰</w:t>
            </w:r>
            <w:r w:rsidRPr="00914C1E">
              <w:rPr>
                <w:rStyle w:val="normaltextrun"/>
                <w:color w:val="000000"/>
                <w:szCs w:val="24"/>
                <w:shd w:val="clear" w:color="auto" w:fill="FFFFFF"/>
              </w:rPr>
              <w:t xml:space="preserve"> nav pieļaujama.</w:t>
            </w:r>
          </w:p>
          <w:p w14:paraId="6C941ED6" w14:textId="77777777" w:rsidR="0083114B" w:rsidRPr="006377DC" w:rsidRDefault="0083114B" w:rsidP="0034566A">
            <w:pPr>
              <w:rPr>
                <w:color w:val="0070C0"/>
              </w:rPr>
            </w:pPr>
          </w:p>
        </w:tc>
      </w:tr>
      <w:tr w:rsidR="0083114B" w:rsidRPr="006377DC" w14:paraId="4A866F15" w14:textId="77777777" w:rsidTr="0083114B">
        <w:trPr>
          <w:trHeight w:val="301"/>
        </w:trPr>
        <w:tc>
          <w:tcPr>
            <w:tcW w:w="709" w:type="dxa"/>
            <w:shd w:val="clear" w:color="auto" w:fill="auto"/>
          </w:tcPr>
          <w:p w14:paraId="22D086FB" w14:textId="2DA303BC" w:rsidR="0083114B" w:rsidRPr="006377DC" w:rsidRDefault="00DD2CDB" w:rsidP="0034566A">
            <w:pPr>
              <w:contextualSpacing/>
              <w:jc w:val="center"/>
              <w:rPr>
                <w:rFonts w:eastAsia="Calibri"/>
              </w:rPr>
            </w:pPr>
            <w:r>
              <w:rPr>
                <w:rFonts w:eastAsia="Calibri"/>
              </w:rPr>
              <w:t>6</w:t>
            </w:r>
            <w:r w:rsidR="0083114B" w:rsidRPr="006377DC">
              <w:rPr>
                <w:rFonts w:eastAsia="Calibri"/>
              </w:rPr>
              <w:t>.</w:t>
            </w:r>
          </w:p>
        </w:tc>
        <w:tc>
          <w:tcPr>
            <w:tcW w:w="4820" w:type="dxa"/>
            <w:shd w:val="clear" w:color="auto" w:fill="auto"/>
          </w:tcPr>
          <w:p w14:paraId="34D709AD" w14:textId="77777777" w:rsidR="0083114B" w:rsidRPr="006377DC" w:rsidRDefault="0083114B" w:rsidP="0034566A">
            <w:pPr>
              <w:rPr>
                <w:rFonts w:eastAsia="Arial Unicode MS"/>
                <w:szCs w:val="24"/>
              </w:rPr>
            </w:pPr>
            <w:r w:rsidRPr="006377DC">
              <w:rPr>
                <w:rFonts w:eastAsia="Arial Unicode MS"/>
                <w:szCs w:val="24"/>
              </w:rPr>
              <w:t>Prasība:</w:t>
            </w:r>
          </w:p>
          <w:p w14:paraId="389AF80E" w14:textId="77777777" w:rsidR="0083114B" w:rsidRPr="006377DC" w:rsidRDefault="0083114B" w:rsidP="0034566A">
            <w:pPr>
              <w:rPr>
                <w:i/>
                <w:iCs/>
                <w:lang w:eastAsia="ar-SA"/>
              </w:rPr>
            </w:pPr>
            <w:r w:rsidRPr="006377DC">
              <w:rPr>
                <w:rFonts w:eastAsia="Arial Unicode MS"/>
                <w:i/>
                <w:iCs/>
                <w:szCs w:val="24"/>
              </w:rPr>
              <w:t xml:space="preserve">4.2.p. - </w:t>
            </w:r>
            <w:r w:rsidRPr="006377DC">
              <w:rPr>
                <w:rFonts w:eastAsia="Calibri"/>
                <w:i/>
                <w:iCs/>
              </w:rPr>
              <w:t xml:space="preserve">pretendents pēdējo 3 (trīs) saimnieciskās darbības gadu laikā ir </w:t>
            </w:r>
            <w:r w:rsidRPr="006377DC">
              <w:rPr>
                <w:rFonts w:eastAsia="Calibri"/>
                <w:bCs/>
                <w:i/>
                <w:iCs/>
              </w:rPr>
              <w:t xml:space="preserve">veicis vismaz 1 (vienu) iepirkuma priekšmetam līdzīga satura un apjoma līgumu, proti, pretendentam ir pieredze </w:t>
            </w:r>
            <w:r w:rsidRPr="006377DC">
              <w:rPr>
                <w:i/>
                <w:iCs/>
              </w:rPr>
              <w:t xml:space="preserve">videonovērošanas sistēmu piegādē un uzstādīšanā transporta līdzekļos </w:t>
            </w:r>
            <w:r w:rsidRPr="006377DC">
              <w:rPr>
                <w:i/>
                <w:iCs/>
                <w:lang w:eastAsia="ar-SA"/>
              </w:rPr>
              <w:t>vismaz vienā līgumā;</w:t>
            </w:r>
          </w:p>
          <w:p w14:paraId="2C2B127F" w14:textId="77777777" w:rsidR="0083114B" w:rsidRPr="006377DC" w:rsidRDefault="0083114B" w:rsidP="0034566A">
            <w:pPr>
              <w:rPr>
                <w:bCs/>
                <w:i/>
                <w:iCs/>
              </w:rPr>
            </w:pPr>
            <w:r w:rsidRPr="006377DC">
              <w:rPr>
                <w:rFonts w:eastAsia="Arial Unicode MS"/>
                <w:i/>
                <w:iCs/>
                <w:szCs w:val="24"/>
              </w:rPr>
              <w:t xml:space="preserve">1.9.11.p. - </w:t>
            </w:r>
            <w:r w:rsidRPr="006377DC">
              <w:rPr>
                <w:bCs/>
                <w:i/>
                <w:iCs/>
                <w:lang w:eastAsia="lv-LV"/>
              </w:rPr>
              <w:t xml:space="preserve">informācijas veidlapa par pretendenta </w:t>
            </w:r>
            <w:r w:rsidRPr="006377DC">
              <w:rPr>
                <w:bCs/>
                <w:i/>
                <w:iCs/>
              </w:rPr>
              <w:t>sekmīgi izpildītiem līdzīgiem līgumiem /forma/ (</w:t>
            </w:r>
            <w:r w:rsidRPr="006377DC">
              <w:rPr>
                <w:i/>
                <w:iCs/>
              </w:rPr>
              <w:t>sarunu procedūras nolikuma 4.pielikums</w:t>
            </w:r>
            <w:r w:rsidRPr="006377DC">
              <w:rPr>
                <w:bCs/>
                <w:i/>
                <w:iCs/>
              </w:rPr>
              <w:t>).</w:t>
            </w:r>
          </w:p>
          <w:p w14:paraId="0B714AB6" w14:textId="77777777" w:rsidR="0083114B" w:rsidRPr="006377DC" w:rsidRDefault="0083114B" w:rsidP="0034566A">
            <w:pPr>
              <w:rPr>
                <w:bCs/>
                <w:i/>
                <w:iCs/>
              </w:rPr>
            </w:pPr>
          </w:p>
          <w:p w14:paraId="144BE0EA" w14:textId="77777777" w:rsidR="0083114B" w:rsidRPr="006377DC" w:rsidRDefault="0083114B" w:rsidP="0034566A">
            <w:pPr>
              <w:pStyle w:val="Sarakstarindkopa"/>
              <w:tabs>
                <w:tab w:val="left" w:pos="567"/>
                <w:tab w:val="left" w:pos="993"/>
              </w:tabs>
              <w:ind w:left="0"/>
              <w:jc w:val="both"/>
              <w:rPr>
                <w:bCs/>
                <w:sz w:val="24"/>
                <w:szCs w:val="24"/>
              </w:rPr>
            </w:pPr>
            <w:r w:rsidRPr="006377DC">
              <w:rPr>
                <w:bCs/>
                <w:sz w:val="24"/>
                <w:szCs w:val="24"/>
              </w:rPr>
              <w:t>Vai videonovērošanas sistēmu piegādē un uzstādīšanā uz vienas lokomotīves ČME3 un vienas ceļu mašīnas 08-32 CT "DUOMATIC"</w:t>
            </w:r>
          </w:p>
          <w:p w14:paraId="3E003EB5" w14:textId="77777777" w:rsidR="0083114B" w:rsidRPr="006377DC" w:rsidRDefault="0083114B" w:rsidP="0034566A">
            <w:pPr>
              <w:rPr>
                <w:bCs/>
                <w:i/>
                <w:iCs/>
                <w:szCs w:val="24"/>
              </w:rPr>
            </w:pPr>
            <w:r w:rsidRPr="006377DC">
              <w:rPr>
                <w:bCs/>
                <w:szCs w:val="24"/>
                <w:lang w:eastAsia="lv-LV"/>
              </w:rPr>
              <w:t>atbilst kvalifikācijas prasībām?</w:t>
            </w:r>
          </w:p>
        </w:tc>
        <w:tc>
          <w:tcPr>
            <w:tcW w:w="4591" w:type="dxa"/>
            <w:shd w:val="clear" w:color="auto" w:fill="auto"/>
          </w:tcPr>
          <w:p w14:paraId="2A728D75" w14:textId="77777777" w:rsidR="0083114B" w:rsidRPr="000E458C" w:rsidRDefault="0083114B" w:rsidP="0034566A">
            <w:pPr>
              <w:rPr>
                <w:szCs w:val="24"/>
              </w:rPr>
            </w:pPr>
            <w:r w:rsidRPr="000E458C">
              <w:rPr>
                <w:szCs w:val="24"/>
              </w:rPr>
              <w:t xml:space="preserve">Skaidrojam, ka sarunu procedūras ar publikāciju nolikumā ir noteikts, ka iepirkuma priekšmets ir - </w:t>
            </w:r>
            <w:r w:rsidRPr="000E458C">
              <w:t xml:space="preserve">lokomotīvju videonovērošanas sistēmu (LVNS) piegāde un uzstādīšana 20 (divdesmit) </w:t>
            </w:r>
            <w:r w:rsidRPr="000E458C">
              <w:rPr>
                <w:i/>
                <w:iCs/>
              </w:rPr>
              <w:t>ČME-3</w:t>
            </w:r>
            <w:r w:rsidRPr="000E458C">
              <w:t xml:space="preserve"> sērijas un 3 (trijām) </w:t>
            </w:r>
            <w:r w:rsidRPr="000E458C">
              <w:rPr>
                <w:i/>
                <w:iCs/>
              </w:rPr>
              <w:t>ČME3ME</w:t>
            </w:r>
            <w:r w:rsidRPr="000E458C">
              <w:t xml:space="preserve"> sērijas dīzeļlokomotīvēm. </w:t>
            </w:r>
            <w:r w:rsidRPr="000E458C">
              <w:rPr>
                <w:bCs/>
              </w:rPr>
              <w:t xml:space="preserve">Attiecīgi pretendenta pieredzei </w:t>
            </w:r>
            <w:r w:rsidRPr="000E458C">
              <w:rPr>
                <w:rFonts w:eastAsia="Calibri"/>
              </w:rPr>
              <w:t>pēdējo 3 (trīs) saimnieciskās darbības gadu laikā ir jābūt</w:t>
            </w:r>
            <w:r>
              <w:rPr>
                <w:rFonts w:eastAsia="Calibri"/>
              </w:rPr>
              <w:t xml:space="preserve"> līdzvērtīgai </w:t>
            </w:r>
            <w:r w:rsidRPr="000E458C">
              <w:rPr>
                <w:rFonts w:eastAsia="Calibri"/>
              </w:rPr>
              <w:t xml:space="preserve">atbilstoši iepirkuma priekšmetam gan </w:t>
            </w:r>
            <w:r w:rsidRPr="000E458C">
              <w:rPr>
                <w:rFonts w:eastAsia="Calibri"/>
                <w:u w:val="single"/>
              </w:rPr>
              <w:t>pēc satura</w:t>
            </w:r>
            <w:r w:rsidRPr="000E458C">
              <w:rPr>
                <w:rFonts w:eastAsia="Calibri"/>
              </w:rPr>
              <w:t xml:space="preserve">, gan </w:t>
            </w:r>
            <w:r w:rsidRPr="000E458C">
              <w:rPr>
                <w:rFonts w:eastAsia="Calibri"/>
                <w:u w:val="single"/>
              </w:rPr>
              <w:t>pēc apjoma.</w:t>
            </w:r>
          </w:p>
          <w:p w14:paraId="07A983F8" w14:textId="77777777" w:rsidR="0083114B" w:rsidRPr="000E458C" w:rsidRDefault="0083114B" w:rsidP="0034566A">
            <w:pPr>
              <w:rPr>
                <w:szCs w:val="24"/>
              </w:rPr>
            </w:pPr>
          </w:p>
          <w:p w14:paraId="0D3878FE" w14:textId="77777777" w:rsidR="0083114B" w:rsidRPr="006377DC" w:rsidRDefault="0083114B" w:rsidP="0034566A">
            <w:pPr>
              <w:rPr>
                <w:color w:val="0070C0"/>
              </w:rPr>
            </w:pPr>
          </w:p>
        </w:tc>
      </w:tr>
    </w:tbl>
    <w:p w14:paraId="2260450F" w14:textId="77777777" w:rsidR="0083114B" w:rsidRPr="006377DC" w:rsidRDefault="0083114B" w:rsidP="0083114B">
      <w:pPr>
        <w:ind w:left="-851" w:right="-908"/>
        <w:rPr>
          <w:rFonts w:ascii="Arial" w:hAnsi="Arial" w:cs="Arial"/>
          <w:sz w:val="20"/>
          <w:szCs w:val="20"/>
        </w:rPr>
      </w:pPr>
      <w:r w:rsidRPr="006377DC">
        <w:rPr>
          <w:i/>
          <w:iCs/>
          <w:sz w:val="20"/>
          <w:szCs w:val="20"/>
          <w:vertAlign w:val="superscript"/>
        </w:rPr>
        <w:t>*</w:t>
      </w:r>
      <w:r w:rsidRPr="006377DC">
        <w:rPr>
          <w:rFonts w:eastAsia="Calibri"/>
          <w:i/>
          <w:iCs/>
          <w:sz w:val="20"/>
          <w:szCs w:val="20"/>
        </w:rPr>
        <w:t>N</w:t>
      </w:r>
      <w:r w:rsidRPr="006377DC">
        <w:rPr>
          <w:i/>
          <w:iCs/>
          <w:sz w:val="20"/>
          <w:szCs w:val="20"/>
        </w:rPr>
        <w:t xml:space="preserve">orādām, ka ieinteresētais piegādātājs iesniedza vēstuli ar jautājumu par sarunu procedūras nolikuma prasībām angļu valodā un bez attiecīga tulkojuma latviešu valodā, neievērojot </w:t>
      </w:r>
      <w:r w:rsidRPr="006377DC">
        <w:rPr>
          <w:i/>
          <w:iCs/>
          <w:color w:val="333333"/>
          <w:sz w:val="20"/>
          <w:szCs w:val="20"/>
        </w:rPr>
        <w:t xml:space="preserve">sarunu procedūras nolikuma 1.7.3.punkta nosacījumus. Dokumenta </w:t>
      </w:r>
      <w:r w:rsidRPr="006377DC">
        <w:rPr>
          <w:i/>
          <w:iCs/>
          <w:sz w:val="20"/>
          <w:szCs w:val="20"/>
        </w:rPr>
        <w:t xml:space="preserve">iesniegšana svešvalodā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Attiecīgi, šajā gadījumā, atbilde tiek sniegta, taču </w:t>
      </w:r>
      <w:r w:rsidRPr="006377DC">
        <w:rPr>
          <w:b/>
          <w:bCs/>
          <w:i/>
          <w:iCs/>
          <w:sz w:val="20"/>
          <w:szCs w:val="20"/>
          <w:u w:val="single"/>
        </w:rPr>
        <w:t>pasūtītājs neatbild par saņemtā dokumenta tulkojuma pareizību</w:t>
      </w:r>
      <w:r w:rsidRPr="006377DC">
        <w:rPr>
          <w:b/>
          <w:bCs/>
          <w:sz w:val="20"/>
          <w:szCs w:val="20"/>
          <w:u w:val="single"/>
        </w:rPr>
        <w:t>.</w:t>
      </w:r>
    </w:p>
    <w:p w14:paraId="62460E6A" w14:textId="77777777" w:rsidR="0083114B" w:rsidRPr="006377DC" w:rsidRDefault="0083114B" w:rsidP="0083114B">
      <w:pPr>
        <w:ind w:left="-851" w:right="-908"/>
        <w:rPr>
          <w:rFonts w:ascii="Arial" w:hAnsi="Arial" w:cs="Arial"/>
          <w:highlight w:val="yellow"/>
        </w:rPr>
      </w:pPr>
    </w:p>
    <w:p w14:paraId="060FA0A5" w14:textId="77777777" w:rsidR="0083114B" w:rsidRPr="00C20434" w:rsidRDefault="0083114B">
      <w:pPr>
        <w:rPr>
          <w:rFonts w:ascii="Arial" w:hAnsi="Arial" w:cs="Arial"/>
        </w:rPr>
      </w:pPr>
    </w:p>
    <w:sectPr w:rsidR="0083114B"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4B"/>
    <w:rsid w:val="0025116B"/>
    <w:rsid w:val="003204EA"/>
    <w:rsid w:val="0083114B"/>
    <w:rsid w:val="0098236C"/>
    <w:rsid w:val="00C20434"/>
    <w:rsid w:val="00DD2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09E6"/>
  <w15:chartTrackingRefBased/>
  <w15:docId w15:val="{73CF21DF-DB81-4370-ADA2-C0A07673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114B"/>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83114B"/>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3114B"/>
    <w:rPr>
      <w:rFonts w:ascii="Times New Roman" w:eastAsia="Calibri" w:hAnsi="Times New Roman" w:cs="Times New Roman"/>
      <w:sz w:val="20"/>
      <w:szCs w:val="20"/>
      <w:lang w:eastAsia="lv-LV"/>
    </w:rPr>
  </w:style>
  <w:style w:type="paragraph" w:styleId="HTMLiepriekformattais">
    <w:name w:val="HTML Preformatted"/>
    <w:basedOn w:val="Parasts"/>
    <w:link w:val="HTMLiepriekformattaisRakstz"/>
    <w:uiPriority w:val="99"/>
    <w:semiHidden/>
    <w:unhideWhenUsed/>
    <w:rsid w:val="0083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83114B"/>
    <w:rPr>
      <w:rFonts w:ascii="Courier New" w:eastAsia="Times New Roman" w:hAnsi="Courier New" w:cs="Courier New"/>
      <w:sz w:val="20"/>
      <w:szCs w:val="20"/>
      <w:lang w:eastAsia="lv-LV"/>
    </w:rPr>
  </w:style>
  <w:style w:type="character" w:customStyle="1" w:styleId="y2iqfc">
    <w:name w:val="y2iqfc"/>
    <w:basedOn w:val="Noklusjumarindkopasfonts"/>
    <w:rsid w:val="0083114B"/>
  </w:style>
  <w:style w:type="character" w:customStyle="1" w:styleId="normaltextrun">
    <w:name w:val="normaltextrun"/>
    <w:basedOn w:val="Noklusjumarindkopasfonts"/>
    <w:rsid w:val="0083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4671</Words>
  <Characters>2664</Characters>
  <Application>Microsoft Office Word</Application>
  <DocSecurity>0</DocSecurity>
  <Lines>22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2021-05-20T09:54:00Z</dcterms:created>
  <dcterms:modified xsi:type="dcterms:W3CDTF">2021-05-20T09:54:00Z</dcterms:modified>
</cp:coreProperties>
</file>