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02F4C" w14:textId="77777777" w:rsidR="001C2AC9" w:rsidRPr="008951BD" w:rsidRDefault="001C2AC9" w:rsidP="001C2AC9">
      <w:pPr>
        <w:tabs>
          <w:tab w:val="left" w:pos="3760"/>
        </w:tabs>
        <w:ind w:left="-284" w:right="-1044" w:firstLine="4395"/>
        <w:jc w:val="right"/>
        <w:rPr>
          <w:rFonts w:eastAsia="Calibri"/>
          <w:i/>
          <w:szCs w:val="24"/>
          <w:lang w:eastAsia="lv-LV"/>
        </w:rPr>
      </w:pPr>
      <w:r w:rsidRPr="008951BD">
        <w:rPr>
          <w:rFonts w:eastAsia="Calibri"/>
          <w:i/>
          <w:szCs w:val="24"/>
          <w:lang w:eastAsia="lv-LV"/>
        </w:rPr>
        <w:t>APSTIPRINĀTS:</w:t>
      </w:r>
    </w:p>
    <w:p w14:paraId="01D322D2" w14:textId="5065F15D" w:rsidR="001C2AC9" w:rsidRPr="008951BD" w:rsidRDefault="001C2AC9" w:rsidP="001C2AC9">
      <w:pPr>
        <w:tabs>
          <w:tab w:val="left" w:pos="3760"/>
        </w:tabs>
        <w:ind w:right="-1044"/>
        <w:jc w:val="right"/>
        <w:rPr>
          <w:rFonts w:eastAsia="Calibri"/>
          <w:i/>
          <w:szCs w:val="24"/>
          <w:lang w:eastAsia="lv-LV"/>
        </w:rPr>
      </w:pPr>
      <w:r w:rsidRPr="008951BD">
        <w:rPr>
          <w:rFonts w:eastAsia="Calibri"/>
          <w:i/>
          <w:szCs w:val="24"/>
          <w:lang w:eastAsia="lv-LV"/>
        </w:rPr>
        <w:t xml:space="preserve">ar iepirkuma komisijas </w:t>
      </w:r>
      <w:r w:rsidRPr="008951BD">
        <w:rPr>
          <w:rFonts w:eastAsia="Arial Unicode MS"/>
          <w:i/>
          <w:szCs w:val="24"/>
          <w:lang w:eastAsia="lv-LV"/>
        </w:rPr>
        <w:t xml:space="preserve">2020.gada </w:t>
      </w:r>
      <w:r>
        <w:rPr>
          <w:rFonts w:eastAsia="Arial Unicode MS"/>
          <w:i/>
          <w:szCs w:val="24"/>
          <w:lang w:eastAsia="lv-LV"/>
        </w:rPr>
        <w:t>1</w:t>
      </w:r>
      <w:r>
        <w:rPr>
          <w:rFonts w:eastAsia="Arial Unicode MS"/>
          <w:i/>
          <w:szCs w:val="24"/>
          <w:lang w:eastAsia="lv-LV"/>
        </w:rPr>
        <w:t>2</w:t>
      </w:r>
      <w:r w:rsidRPr="008951BD">
        <w:rPr>
          <w:rFonts w:eastAsia="Arial Unicode MS"/>
          <w:i/>
          <w:szCs w:val="24"/>
          <w:lang w:eastAsia="lv-LV"/>
        </w:rPr>
        <w:t>.</w:t>
      </w:r>
      <w:r>
        <w:rPr>
          <w:rFonts w:eastAsia="Arial Unicode MS"/>
          <w:i/>
          <w:szCs w:val="24"/>
          <w:lang w:eastAsia="lv-LV"/>
        </w:rPr>
        <w:t>novembr</w:t>
      </w:r>
      <w:r w:rsidRPr="008951BD">
        <w:rPr>
          <w:rFonts w:eastAsia="Arial Unicode MS"/>
          <w:i/>
          <w:szCs w:val="24"/>
          <w:lang w:eastAsia="lv-LV"/>
        </w:rPr>
        <w:t xml:space="preserve">a </w:t>
      </w:r>
    </w:p>
    <w:p w14:paraId="1BEB8C36" w14:textId="2167B5E2" w:rsidR="001C2AC9" w:rsidRDefault="001C2AC9" w:rsidP="001C2AC9">
      <w:pPr>
        <w:ind w:right="-1044"/>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5</w:t>
      </w:r>
    </w:p>
    <w:p w14:paraId="3D312BF4" w14:textId="226FF626" w:rsidR="001C2AC9" w:rsidRDefault="001C2AC9">
      <w:pPr>
        <w:rPr>
          <w:rFonts w:ascii="Arial" w:hAnsi="Arial" w:cs="Arial"/>
        </w:rPr>
      </w:pPr>
    </w:p>
    <w:p w14:paraId="5F6BECA7" w14:textId="77777777" w:rsidR="001C2AC9" w:rsidRPr="001C2AC9" w:rsidRDefault="001C2AC9" w:rsidP="001C2AC9">
      <w:pPr>
        <w:rPr>
          <w:rFonts w:eastAsiaTheme="minorEastAsia"/>
          <w:b/>
          <w:i/>
          <w:szCs w:val="24"/>
          <w:lang w:eastAsia="lv-LV"/>
        </w:rPr>
      </w:pPr>
    </w:p>
    <w:p w14:paraId="4A62B289" w14:textId="77777777" w:rsidR="001C2AC9" w:rsidRPr="001C2AC9" w:rsidRDefault="001C2AC9" w:rsidP="001C2AC9">
      <w:pPr>
        <w:jc w:val="center"/>
        <w:rPr>
          <w:rFonts w:eastAsiaTheme="minorEastAsia"/>
          <w:b/>
          <w:szCs w:val="24"/>
          <w:lang w:eastAsia="lv-LV"/>
        </w:rPr>
      </w:pPr>
      <w:r w:rsidRPr="001C2AC9">
        <w:rPr>
          <w:rFonts w:eastAsiaTheme="minorEastAsia"/>
          <w:b/>
          <w:szCs w:val="24"/>
          <w:lang w:eastAsia="lv-LV"/>
        </w:rPr>
        <w:t>VAS </w:t>
      </w:r>
      <w:r w:rsidRPr="001C2AC9">
        <w:rPr>
          <w:rFonts w:eastAsiaTheme="minorEastAsia"/>
          <w:b/>
          <w:color w:val="222222"/>
          <w:szCs w:val="24"/>
          <w:lang w:eastAsia="lv-LV"/>
        </w:rPr>
        <w:t>„</w:t>
      </w:r>
      <w:r w:rsidRPr="001C2AC9">
        <w:rPr>
          <w:rFonts w:eastAsiaTheme="minorEastAsia"/>
          <w:b/>
          <w:szCs w:val="24"/>
          <w:lang w:eastAsia="lv-LV"/>
        </w:rPr>
        <w:t xml:space="preserve">Latvijas dzelzceļš” </w:t>
      </w:r>
    </w:p>
    <w:p w14:paraId="476812E0" w14:textId="77777777" w:rsidR="001C2AC9" w:rsidRPr="001C2AC9" w:rsidRDefault="001C2AC9" w:rsidP="001C2AC9">
      <w:pPr>
        <w:ind w:left="142" w:right="-1"/>
        <w:jc w:val="center"/>
        <w:rPr>
          <w:rFonts w:eastAsiaTheme="minorEastAsia"/>
          <w:b/>
          <w:szCs w:val="24"/>
          <w:lang w:eastAsia="lv-LV"/>
        </w:rPr>
      </w:pPr>
      <w:r w:rsidRPr="001C2AC9">
        <w:rPr>
          <w:rFonts w:eastAsiaTheme="minorEastAsia"/>
          <w:b/>
          <w:szCs w:val="24"/>
          <w:lang w:eastAsia="lv-LV"/>
        </w:rPr>
        <w:t>sarunu procedūras ar publikāciju</w:t>
      </w:r>
    </w:p>
    <w:p w14:paraId="7EA904CC" w14:textId="77777777" w:rsidR="001C2AC9" w:rsidRPr="001C2AC9" w:rsidRDefault="001C2AC9" w:rsidP="001C2AC9">
      <w:pPr>
        <w:jc w:val="center"/>
        <w:rPr>
          <w:rFonts w:eastAsiaTheme="minorEastAsia"/>
          <w:b/>
          <w:bCs/>
          <w:szCs w:val="24"/>
          <w:lang w:eastAsia="lv-LV"/>
        </w:rPr>
      </w:pPr>
      <w:r w:rsidRPr="001C2AC9">
        <w:rPr>
          <w:rFonts w:eastAsiaTheme="minorEastAsia"/>
          <w:b/>
          <w:bCs/>
          <w:color w:val="222222"/>
          <w:szCs w:val="24"/>
          <w:lang w:eastAsia="lv-LV"/>
        </w:rPr>
        <w:t>„</w:t>
      </w:r>
      <w:r w:rsidRPr="001C2AC9">
        <w:rPr>
          <w:rFonts w:eastAsiaTheme="minorEastAsia"/>
          <w:b/>
          <w:bCs/>
          <w:szCs w:val="24"/>
          <w:lang w:eastAsia="lv-LV"/>
        </w:rPr>
        <w:t xml:space="preserve">Informatīvā zvanu centra pakalpojuma nodrošināšana jautājumos par pasažieru vilcienu kustību un VAS </w:t>
      </w:r>
      <w:r w:rsidRPr="001C2AC9">
        <w:rPr>
          <w:rFonts w:eastAsiaTheme="minorEastAsia"/>
          <w:b/>
          <w:bCs/>
          <w:color w:val="222222"/>
          <w:szCs w:val="24"/>
          <w:lang w:eastAsia="lv-LV"/>
        </w:rPr>
        <w:t>„</w:t>
      </w:r>
      <w:r w:rsidRPr="001C2AC9">
        <w:rPr>
          <w:rFonts w:eastAsiaTheme="minorEastAsia"/>
          <w:b/>
          <w:bCs/>
          <w:szCs w:val="24"/>
          <w:lang w:eastAsia="lv-LV"/>
        </w:rPr>
        <w:t>Latvijas dzelzceļš” sniegtajiem pakalpojumiem ”</w:t>
      </w:r>
    </w:p>
    <w:p w14:paraId="3529F5C1" w14:textId="77777777" w:rsidR="001C2AC9" w:rsidRPr="001C2AC9" w:rsidRDefault="001C2AC9" w:rsidP="001C2AC9">
      <w:pPr>
        <w:jc w:val="center"/>
        <w:rPr>
          <w:rFonts w:eastAsia="Calibri"/>
          <w:szCs w:val="24"/>
          <w:lang w:eastAsia="lv-LV"/>
        </w:rPr>
      </w:pPr>
      <w:r w:rsidRPr="001C2AC9">
        <w:rPr>
          <w:rFonts w:eastAsia="Calibri"/>
          <w:szCs w:val="24"/>
          <w:lang w:eastAsia="lv-LV"/>
        </w:rPr>
        <w:t>(turpmāk – sarunu procedūra)</w:t>
      </w:r>
    </w:p>
    <w:p w14:paraId="25C5B978" w14:textId="77777777" w:rsidR="001C2AC9" w:rsidRPr="001C2AC9" w:rsidRDefault="001C2AC9" w:rsidP="001C2AC9">
      <w:pPr>
        <w:ind w:left="284" w:right="282"/>
        <w:jc w:val="left"/>
        <w:rPr>
          <w:rFonts w:eastAsia="Calibri"/>
          <w:szCs w:val="24"/>
          <w:lang w:eastAsia="lv-LV"/>
        </w:rPr>
      </w:pPr>
    </w:p>
    <w:p w14:paraId="2D68E798" w14:textId="77777777" w:rsidR="001C2AC9" w:rsidRPr="001C2AC9" w:rsidRDefault="001C2AC9" w:rsidP="001C2AC9">
      <w:pPr>
        <w:ind w:left="284" w:right="282"/>
        <w:jc w:val="center"/>
        <w:rPr>
          <w:rFonts w:eastAsia="Calibri"/>
          <w:b/>
          <w:szCs w:val="24"/>
          <w:lang w:eastAsia="lv-LV"/>
        </w:rPr>
      </w:pPr>
      <w:r w:rsidRPr="001C2AC9">
        <w:rPr>
          <w:rFonts w:eastAsia="Calibri"/>
          <w:b/>
          <w:szCs w:val="24"/>
          <w:lang w:eastAsia="lv-LV"/>
        </w:rPr>
        <w:t>Skaidrojums Nr.4</w:t>
      </w:r>
    </w:p>
    <w:p w14:paraId="2C897222" w14:textId="77777777" w:rsidR="001C2AC9" w:rsidRPr="001C2AC9" w:rsidRDefault="001C2AC9" w:rsidP="001C2AC9">
      <w:pPr>
        <w:ind w:right="282"/>
        <w:jc w:val="left"/>
        <w:rPr>
          <w:rFonts w:eastAsia="Calibri"/>
          <w:b/>
          <w:szCs w:val="24"/>
          <w:highlight w:val="yellow"/>
          <w:lang w:eastAsia="lv-LV"/>
        </w:rPr>
      </w:pP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680"/>
        <w:gridCol w:w="4960"/>
      </w:tblGrid>
      <w:tr w:rsidR="001C2AC9" w:rsidRPr="001C2AC9" w14:paraId="42893543" w14:textId="77777777" w:rsidTr="001C2AC9">
        <w:trPr>
          <w:trHeight w:val="655"/>
        </w:trPr>
        <w:tc>
          <w:tcPr>
            <w:tcW w:w="709" w:type="dxa"/>
            <w:shd w:val="clear" w:color="auto" w:fill="FFF2CC"/>
            <w:vAlign w:val="center"/>
          </w:tcPr>
          <w:p w14:paraId="2FEC59DE" w14:textId="77777777" w:rsidR="001C2AC9" w:rsidRPr="001C2AC9" w:rsidRDefault="001C2AC9" w:rsidP="001C2AC9">
            <w:pPr>
              <w:jc w:val="center"/>
              <w:rPr>
                <w:rFonts w:eastAsia="Calibri"/>
                <w:b/>
                <w:szCs w:val="24"/>
                <w:lang w:eastAsia="lv-LV"/>
              </w:rPr>
            </w:pPr>
            <w:r w:rsidRPr="001C2AC9">
              <w:rPr>
                <w:rFonts w:eastAsia="Calibri"/>
                <w:b/>
                <w:szCs w:val="24"/>
                <w:lang w:eastAsia="lv-LV"/>
              </w:rPr>
              <w:t>Nr.</w:t>
            </w:r>
          </w:p>
          <w:p w14:paraId="1940797C" w14:textId="77777777" w:rsidR="001C2AC9" w:rsidRPr="001C2AC9" w:rsidRDefault="001C2AC9" w:rsidP="001C2AC9">
            <w:pPr>
              <w:jc w:val="center"/>
              <w:rPr>
                <w:rFonts w:eastAsia="Calibri"/>
                <w:b/>
                <w:szCs w:val="24"/>
                <w:lang w:eastAsia="lv-LV"/>
              </w:rPr>
            </w:pPr>
            <w:r w:rsidRPr="001C2AC9">
              <w:rPr>
                <w:rFonts w:eastAsia="Calibri"/>
                <w:b/>
                <w:szCs w:val="24"/>
                <w:lang w:eastAsia="lv-LV"/>
              </w:rPr>
              <w:t>p.k.</w:t>
            </w:r>
          </w:p>
        </w:tc>
        <w:tc>
          <w:tcPr>
            <w:tcW w:w="4680" w:type="dxa"/>
            <w:shd w:val="clear" w:color="auto" w:fill="FFF2CC"/>
            <w:vAlign w:val="center"/>
          </w:tcPr>
          <w:p w14:paraId="598149BC" w14:textId="77777777" w:rsidR="001C2AC9" w:rsidRPr="001C2AC9" w:rsidRDefault="001C2AC9" w:rsidP="001C2AC9">
            <w:pPr>
              <w:jc w:val="center"/>
              <w:rPr>
                <w:rFonts w:eastAsia="Calibri"/>
                <w:b/>
                <w:i/>
                <w:szCs w:val="24"/>
                <w:lang w:eastAsia="lv-LV"/>
              </w:rPr>
            </w:pPr>
            <w:r w:rsidRPr="001C2AC9">
              <w:rPr>
                <w:rFonts w:eastAsia="Calibri"/>
                <w:b/>
                <w:i/>
                <w:szCs w:val="24"/>
                <w:lang w:eastAsia="lv-LV"/>
              </w:rPr>
              <w:t>Jautājums</w:t>
            </w:r>
            <w:bookmarkStart w:id="0" w:name="_GoBack"/>
            <w:bookmarkEnd w:id="0"/>
          </w:p>
        </w:tc>
        <w:tc>
          <w:tcPr>
            <w:tcW w:w="4960" w:type="dxa"/>
            <w:shd w:val="clear" w:color="auto" w:fill="FFF2CC"/>
            <w:vAlign w:val="center"/>
          </w:tcPr>
          <w:p w14:paraId="4FF69A45" w14:textId="77777777" w:rsidR="001C2AC9" w:rsidRPr="001C2AC9" w:rsidRDefault="001C2AC9" w:rsidP="001C2AC9">
            <w:pPr>
              <w:jc w:val="center"/>
              <w:rPr>
                <w:rFonts w:eastAsia="Calibri"/>
                <w:b/>
                <w:i/>
                <w:szCs w:val="24"/>
                <w:lang w:eastAsia="lv-LV"/>
              </w:rPr>
            </w:pPr>
            <w:r w:rsidRPr="001C2AC9">
              <w:rPr>
                <w:rFonts w:eastAsia="Calibri"/>
                <w:b/>
                <w:i/>
                <w:szCs w:val="24"/>
                <w:lang w:eastAsia="lv-LV"/>
              </w:rPr>
              <w:t>Atbilde</w:t>
            </w:r>
          </w:p>
        </w:tc>
      </w:tr>
      <w:tr w:rsidR="001C2AC9" w:rsidRPr="001C2AC9" w14:paraId="63FDC2A6" w14:textId="77777777" w:rsidTr="001C2AC9">
        <w:trPr>
          <w:trHeight w:val="701"/>
        </w:trPr>
        <w:tc>
          <w:tcPr>
            <w:tcW w:w="709" w:type="dxa"/>
            <w:shd w:val="clear" w:color="auto" w:fill="auto"/>
          </w:tcPr>
          <w:p w14:paraId="24CD3045" w14:textId="77777777" w:rsidR="001C2AC9" w:rsidRPr="001C2AC9" w:rsidRDefault="001C2AC9" w:rsidP="001C2AC9">
            <w:pPr>
              <w:jc w:val="center"/>
              <w:rPr>
                <w:rFonts w:eastAsia="Calibri"/>
                <w:szCs w:val="24"/>
                <w:lang w:eastAsia="lv-LV"/>
              </w:rPr>
            </w:pPr>
            <w:r w:rsidRPr="001C2AC9">
              <w:rPr>
                <w:rFonts w:eastAsia="Calibri"/>
                <w:szCs w:val="24"/>
                <w:lang w:eastAsia="lv-LV"/>
              </w:rPr>
              <w:t>1.</w:t>
            </w:r>
          </w:p>
        </w:tc>
        <w:tc>
          <w:tcPr>
            <w:tcW w:w="4680" w:type="dxa"/>
            <w:shd w:val="clear" w:color="auto" w:fill="auto"/>
          </w:tcPr>
          <w:p w14:paraId="6EC1943D" w14:textId="77777777" w:rsidR="001C2AC9" w:rsidRPr="001C2AC9" w:rsidRDefault="001C2AC9" w:rsidP="001C2AC9">
            <w:pPr>
              <w:rPr>
                <w:szCs w:val="24"/>
              </w:rPr>
            </w:pPr>
            <w:r w:rsidRPr="001C2AC9">
              <w:rPr>
                <w:rFonts w:eastAsiaTheme="minorEastAsia"/>
                <w:szCs w:val="24"/>
              </w:rPr>
              <w:t xml:space="preserve">Atbildē Jūs norādījāt, ka </w:t>
            </w:r>
            <w:r w:rsidRPr="001C2AC9">
              <w:rPr>
                <w:rFonts w:eastAsiaTheme="minorEastAsia"/>
                <w:szCs w:val="24"/>
                <w:lang w:eastAsia="lv-LV"/>
              </w:rPr>
              <w:t xml:space="preserve">izmaksas par numura apkalpošanu tajā skaitā numura ieviešanu nolikumā nav minētas. Jūsu skaidrojums: </w:t>
            </w:r>
            <w:r w:rsidRPr="001C2AC9">
              <w:rPr>
                <w:rFonts w:eastAsiaTheme="minorEastAsia"/>
                <w:color w:val="222222"/>
                <w:szCs w:val="24"/>
                <w:lang w:eastAsia="lv-LV"/>
              </w:rPr>
              <w:t>„</w:t>
            </w:r>
            <w:r w:rsidRPr="001C2AC9">
              <w:rPr>
                <w:rFonts w:eastAsiaTheme="minorEastAsia"/>
                <w:szCs w:val="24"/>
                <w:lang w:eastAsia="lv-LV"/>
              </w:rPr>
              <w:t>Norādām, ka šāda formulējuma sarunu procedūras nolikumā nav. Uzņēmējs nodrošina un atbild par pakalpojuma pieslēgumu vienā no mūsu punktiem,  kā arī atbild un uz sava rēķina veic piederošo līniju un cita tehniskā aprīkojuma tehnisko apskati un profilaksi. Nepieciešamības gadījumā uzņēmējs operatīvi novērš savas vainas dēļ radušos traucējumus un nekavējoties informē pasūtītāja atbildīgo kontaktpersonu par visiem bojājumiem un citām problēmām sarunu procedūras priekšmetā minētā pakalpojuma sniegšanā.”</w:t>
            </w:r>
          </w:p>
          <w:p w14:paraId="1360EBD0" w14:textId="77777777" w:rsidR="001C2AC9" w:rsidRPr="001C2AC9" w:rsidRDefault="001C2AC9" w:rsidP="001C2AC9">
            <w:pPr>
              <w:contextualSpacing/>
              <w:rPr>
                <w:szCs w:val="24"/>
              </w:rPr>
            </w:pPr>
          </w:p>
          <w:p w14:paraId="08434396" w14:textId="77777777" w:rsidR="001C2AC9" w:rsidRPr="001C2AC9" w:rsidRDefault="001C2AC9" w:rsidP="001C2AC9">
            <w:pPr>
              <w:contextualSpacing/>
              <w:rPr>
                <w:rFonts w:ascii="Trebuchet MS" w:hAnsi="Trebuchet MS"/>
                <w:b/>
                <w:bCs/>
                <w:sz w:val="20"/>
                <w:szCs w:val="20"/>
              </w:rPr>
            </w:pPr>
            <w:r w:rsidRPr="001C2AC9">
              <w:rPr>
                <w:szCs w:val="24"/>
              </w:rPr>
              <w:t xml:space="preserve">Savukārt, nolikumā ir sekojošs punkts, kas paredz, ka pakalpojuma sniedzējam ir jāsedz visas izmaksas, kas ir saistītas ar 80021181 numuru. </w:t>
            </w:r>
            <w:r w:rsidRPr="001C2AC9">
              <w:rPr>
                <w:color w:val="222222"/>
                <w:szCs w:val="24"/>
              </w:rPr>
              <w:t>„</w:t>
            </w:r>
            <w:r w:rsidRPr="001C2AC9">
              <w:rPr>
                <w:szCs w:val="24"/>
              </w:rPr>
              <w:t>Pasūtītājs apliecina, ka uzņemas apmaksāt visus telekomunikācijas izdevumus, kādi ir saitīti ar bezmaksas numura: 80021181 abonēšanas maksu un maksu par telekomunikācijas pakalpojumiem uz numura: 80021181 ienākošiem zvaniem, telekomunikācijas pakalpojumu sniedzējam visā Līguma darbības laikā.” Ja LDZ ir operators lūgums norādīt izmaksas, kas būs saistītas ar numura ieviešanu un uzturēšanu apkalpošanas laikā, tajā skaitā tarifus par ienākošajiem zvaniem.</w:t>
            </w:r>
          </w:p>
        </w:tc>
        <w:tc>
          <w:tcPr>
            <w:tcW w:w="4960" w:type="dxa"/>
            <w:shd w:val="clear" w:color="auto" w:fill="auto"/>
          </w:tcPr>
          <w:p w14:paraId="17848DBD" w14:textId="77777777" w:rsidR="001C2AC9" w:rsidRPr="001C2AC9" w:rsidRDefault="001C2AC9" w:rsidP="001C2AC9">
            <w:pPr>
              <w:rPr>
                <w:rFonts w:eastAsiaTheme="minorEastAsia"/>
                <w:szCs w:val="24"/>
              </w:rPr>
            </w:pPr>
            <w:r w:rsidRPr="001C2AC9">
              <w:rPr>
                <w:rFonts w:eastAsiaTheme="minorEastAsia"/>
                <w:szCs w:val="24"/>
              </w:rPr>
              <w:t xml:space="preserve">Norādām, ka ieinteresētais piegādātājs nekorekti interpretē sarunu procedūras nolikuma 6.pielikuma </w:t>
            </w:r>
            <w:r w:rsidRPr="001C2AC9">
              <w:rPr>
                <w:rFonts w:eastAsiaTheme="minorEastAsia"/>
                <w:color w:val="222222"/>
                <w:szCs w:val="24"/>
                <w:lang w:eastAsia="lv-LV"/>
              </w:rPr>
              <w:t>„Līguma projekts” 1.4.punktu.</w:t>
            </w:r>
          </w:p>
          <w:p w14:paraId="533E40A2" w14:textId="77777777" w:rsidR="001C2AC9" w:rsidRPr="001C2AC9" w:rsidRDefault="001C2AC9" w:rsidP="001C2AC9">
            <w:pPr>
              <w:rPr>
                <w:rFonts w:eastAsiaTheme="minorEastAsia"/>
                <w:b/>
                <w:bCs/>
                <w:szCs w:val="24"/>
                <w:u w:val="single"/>
              </w:rPr>
            </w:pPr>
            <w:r w:rsidRPr="001C2AC9">
              <w:rPr>
                <w:rFonts w:eastAsiaTheme="minorEastAsia"/>
                <w:szCs w:val="24"/>
              </w:rPr>
              <w:t xml:space="preserve">Skaidrojam, ka pakalpojuma sniedzējam jāsedz izmaksas par </w:t>
            </w:r>
            <w:r w:rsidRPr="001C2AC9">
              <w:rPr>
                <w:rFonts w:eastAsiaTheme="minorEastAsia"/>
                <w:b/>
                <w:bCs/>
                <w:szCs w:val="24"/>
                <w:u w:val="single"/>
              </w:rPr>
              <w:t>fizisko</w:t>
            </w:r>
            <w:r w:rsidRPr="001C2AC9">
              <w:rPr>
                <w:rFonts w:eastAsiaTheme="minorEastAsia"/>
                <w:szCs w:val="24"/>
              </w:rPr>
              <w:t xml:space="preserve"> savienojuma līniju </w:t>
            </w:r>
            <w:r w:rsidRPr="001C2AC9">
              <w:rPr>
                <w:rFonts w:eastAsiaTheme="minorEastAsia"/>
                <w:b/>
                <w:bCs/>
                <w:szCs w:val="24"/>
                <w:u w:val="single"/>
              </w:rPr>
              <w:t xml:space="preserve">līdz </w:t>
            </w:r>
            <w:r w:rsidRPr="001C2AC9">
              <w:rPr>
                <w:rFonts w:eastAsiaTheme="minorEastAsia"/>
                <w:b/>
                <w:szCs w:val="24"/>
                <w:u w:val="single"/>
                <w:lang w:eastAsia="lv-LV"/>
              </w:rPr>
              <w:t>VAS </w:t>
            </w:r>
            <w:r w:rsidRPr="001C2AC9">
              <w:rPr>
                <w:rFonts w:eastAsiaTheme="minorEastAsia"/>
                <w:b/>
                <w:color w:val="222222"/>
                <w:szCs w:val="24"/>
                <w:u w:val="single"/>
                <w:lang w:eastAsia="lv-LV"/>
              </w:rPr>
              <w:t>„</w:t>
            </w:r>
            <w:r w:rsidRPr="001C2AC9">
              <w:rPr>
                <w:rFonts w:eastAsiaTheme="minorEastAsia"/>
                <w:b/>
                <w:szCs w:val="24"/>
                <w:u w:val="single"/>
                <w:lang w:eastAsia="lv-LV"/>
              </w:rPr>
              <w:t xml:space="preserve">Latvijas dzelzceļš” </w:t>
            </w:r>
            <w:r w:rsidRPr="001C2AC9">
              <w:rPr>
                <w:rFonts w:eastAsiaTheme="minorEastAsia"/>
                <w:b/>
                <w:bCs/>
                <w:szCs w:val="24"/>
                <w:u w:val="single"/>
              </w:rPr>
              <w:t>pieslēguma punktam</w:t>
            </w:r>
            <w:r w:rsidRPr="001C2AC9">
              <w:rPr>
                <w:rFonts w:eastAsiaTheme="minorEastAsia"/>
                <w:szCs w:val="24"/>
                <w:u w:val="single"/>
              </w:rPr>
              <w:t>.</w:t>
            </w:r>
            <w:r w:rsidRPr="001C2AC9">
              <w:rPr>
                <w:rFonts w:eastAsiaTheme="minorEastAsia"/>
                <w:szCs w:val="24"/>
              </w:rPr>
              <w:t xml:space="preserve"> Pasūtītājs nodrošina pakalpojuma pieslēgšanas iespēju trīs pieslēguma punktos, kuri ir noteikti sarunu procedūras nolikuma 3.pielikuma </w:t>
            </w:r>
            <w:r w:rsidRPr="001C2AC9">
              <w:rPr>
                <w:rFonts w:eastAsiaTheme="minorEastAsia"/>
                <w:color w:val="222222"/>
                <w:szCs w:val="24"/>
                <w:lang w:eastAsia="lv-LV"/>
              </w:rPr>
              <w:t xml:space="preserve">„Tehniskā specifikācija” 9.3.punktā, kā </w:t>
            </w:r>
            <w:r w:rsidRPr="001C2AC9">
              <w:rPr>
                <w:rFonts w:eastAsiaTheme="minorEastAsia"/>
                <w:szCs w:val="24"/>
              </w:rPr>
              <w:t xml:space="preserve">arī sarunu procedūras nolikuma 6.pielikuma </w:t>
            </w:r>
            <w:r w:rsidRPr="001C2AC9">
              <w:rPr>
                <w:rFonts w:eastAsiaTheme="minorEastAsia"/>
                <w:color w:val="222222"/>
                <w:szCs w:val="24"/>
                <w:lang w:eastAsia="lv-LV"/>
              </w:rPr>
              <w:t>„Līguma projekts” 2.2.2.punktā.</w:t>
            </w:r>
          </w:p>
          <w:p w14:paraId="164270CE" w14:textId="77777777" w:rsidR="001C2AC9" w:rsidRPr="001C2AC9" w:rsidRDefault="001C2AC9" w:rsidP="001C2AC9">
            <w:pPr>
              <w:jc w:val="left"/>
              <w:rPr>
                <w:rFonts w:ascii="Arial" w:eastAsiaTheme="minorEastAsia" w:hAnsi="Arial" w:cs="Arial"/>
                <w:sz w:val="20"/>
                <w:szCs w:val="20"/>
              </w:rPr>
            </w:pPr>
          </w:p>
          <w:p w14:paraId="0DEE3C2C" w14:textId="77777777" w:rsidR="001C2AC9" w:rsidRPr="001C2AC9" w:rsidRDefault="001C2AC9" w:rsidP="001C2AC9">
            <w:pPr>
              <w:jc w:val="left"/>
              <w:rPr>
                <w:rFonts w:ascii="Arial" w:eastAsiaTheme="minorEastAsia" w:hAnsi="Arial" w:cs="Arial"/>
                <w:sz w:val="20"/>
                <w:szCs w:val="20"/>
              </w:rPr>
            </w:pPr>
          </w:p>
          <w:p w14:paraId="07871358" w14:textId="77777777" w:rsidR="001C2AC9" w:rsidRPr="001C2AC9" w:rsidRDefault="001C2AC9" w:rsidP="001C2AC9">
            <w:pPr>
              <w:rPr>
                <w:sz w:val="20"/>
                <w:szCs w:val="20"/>
              </w:rPr>
            </w:pPr>
          </w:p>
        </w:tc>
      </w:tr>
    </w:tbl>
    <w:p w14:paraId="2F01A5C1" w14:textId="77777777" w:rsidR="001C2AC9" w:rsidRPr="001C2AC9" w:rsidRDefault="001C2AC9" w:rsidP="001C2AC9">
      <w:pPr>
        <w:jc w:val="left"/>
        <w:rPr>
          <w:rFonts w:ascii="Arial" w:eastAsiaTheme="minorEastAsia" w:hAnsi="Arial" w:cs="Arial"/>
          <w:szCs w:val="24"/>
          <w:lang w:eastAsia="lv-LV"/>
        </w:rPr>
      </w:pPr>
    </w:p>
    <w:p w14:paraId="115A43BE" w14:textId="77777777" w:rsidR="001C2AC9" w:rsidRPr="00C20434" w:rsidRDefault="001C2AC9">
      <w:pPr>
        <w:rPr>
          <w:rFonts w:ascii="Arial" w:hAnsi="Arial" w:cs="Arial"/>
        </w:rPr>
      </w:pPr>
    </w:p>
    <w:sectPr w:rsidR="001C2AC9"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AC9"/>
    <w:rsid w:val="001C2AC9"/>
    <w:rsid w:val="003204EA"/>
    <w:rsid w:val="0098236C"/>
    <w:rsid w:val="00C20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03E4C"/>
  <w15:chartTrackingRefBased/>
  <w15:docId w15:val="{C0090C49-46E3-49B6-9CA7-0A5AA969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AC9"/>
    <w:pPr>
      <w:spacing w:after="0" w:line="240" w:lineRule="auto"/>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1352</Words>
  <Characters>772</Characters>
  <Application>Microsoft Office Word</Application>
  <DocSecurity>0</DocSecurity>
  <Lines>6</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1</cp:revision>
  <dcterms:created xsi:type="dcterms:W3CDTF">2020-11-12T08:38:00Z</dcterms:created>
  <dcterms:modified xsi:type="dcterms:W3CDTF">2020-11-12T08:40:00Z</dcterms:modified>
</cp:coreProperties>
</file>