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115B7" w14:textId="77777777" w:rsidR="00221889" w:rsidRDefault="00221889" w:rsidP="001D4014">
      <w:pPr>
        <w:tabs>
          <w:tab w:val="left" w:pos="3760"/>
        </w:tabs>
        <w:ind w:left="-284" w:right="-1333" w:firstLine="4395"/>
        <w:jc w:val="right"/>
        <w:rPr>
          <w:rFonts w:eastAsia="Calibri"/>
          <w:i/>
          <w:szCs w:val="24"/>
          <w:lang w:eastAsia="lv-LV"/>
        </w:rPr>
      </w:pPr>
    </w:p>
    <w:p w14:paraId="00DCAF55" w14:textId="77777777" w:rsidR="00221889" w:rsidRDefault="00221889" w:rsidP="001D4014">
      <w:pPr>
        <w:tabs>
          <w:tab w:val="left" w:pos="3760"/>
        </w:tabs>
        <w:ind w:left="-284" w:right="-1333" w:firstLine="4395"/>
        <w:jc w:val="right"/>
        <w:rPr>
          <w:rFonts w:eastAsia="Calibri"/>
          <w:i/>
          <w:szCs w:val="24"/>
          <w:lang w:eastAsia="lv-LV"/>
        </w:rPr>
      </w:pPr>
    </w:p>
    <w:p w14:paraId="650ED020" w14:textId="77777777" w:rsidR="00221889" w:rsidRDefault="00221889" w:rsidP="001D4014">
      <w:pPr>
        <w:tabs>
          <w:tab w:val="left" w:pos="3760"/>
        </w:tabs>
        <w:ind w:left="-284" w:right="-1333" w:firstLine="4395"/>
        <w:jc w:val="right"/>
        <w:rPr>
          <w:rFonts w:eastAsia="Calibri"/>
          <w:i/>
          <w:szCs w:val="24"/>
          <w:lang w:eastAsia="lv-LV"/>
        </w:rPr>
      </w:pPr>
    </w:p>
    <w:p w14:paraId="7F96D98C" w14:textId="2D3F00CF" w:rsidR="001D4014" w:rsidRPr="008951BD" w:rsidRDefault="001D4014" w:rsidP="001D4014">
      <w:pPr>
        <w:tabs>
          <w:tab w:val="left" w:pos="3760"/>
        </w:tabs>
        <w:ind w:left="-284" w:right="-1333" w:firstLine="4395"/>
        <w:jc w:val="right"/>
        <w:rPr>
          <w:rFonts w:eastAsia="Calibri"/>
          <w:i/>
          <w:szCs w:val="24"/>
          <w:lang w:eastAsia="lv-LV"/>
        </w:rPr>
      </w:pPr>
      <w:r w:rsidRPr="008951BD">
        <w:rPr>
          <w:rFonts w:eastAsia="Calibri"/>
          <w:i/>
          <w:szCs w:val="24"/>
          <w:lang w:eastAsia="lv-LV"/>
        </w:rPr>
        <w:t>APSTIPRINĀTS:</w:t>
      </w:r>
    </w:p>
    <w:p w14:paraId="5924C01A" w14:textId="77777777" w:rsidR="001D4014" w:rsidRPr="008951BD" w:rsidRDefault="001D4014" w:rsidP="001D4014">
      <w:pPr>
        <w:tabs>
          <w:tab w:val="left" w:pos="3760"/>
        </w:tabs>
        <w:ind w:right="-1333"/>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 xml:space="preserve">2020.gada 10.jūlija </w:t>
      </w:r>
    </w:p>
    <w:p w14:paraId="71EA832E" w14:textId="47105B9B" w:rsidR="001D4014" w:rsidRDefault="001D4014" w:rsidP="001D4014">
      <w:pPr>
        <w:ind w:right="-1333"/>
        <w:jc w:val="right"/>
        <w:rPr>
          <w:rFonts w:eastAsia="Arial Unicode MS"/>
          <w:i/>
          <w:szCs w:val="24"/>
          <w:lang w:eastAsia="lv-LV"/>
        </w:rPr>
      </w:pPr>
      <w:r w:rsidRPr="008951BD">
        <w:rPr>
          <w:rFonts w:eastAsia="Arial Unicode MS"/>
          <w:i/>
          <w:szCs w:val="24"/>
          <w:lang w:eastAsia="lv-LV"/>
        </w:rPr>
        <w:t>sēdes protokolu Nr.5</w:t>
      </w:r>
    </w:p>
    <w:p w14:paraId="5997258B" w14:textId="16883657" w:rsidR="008951BD" w:rsidRDefault="008951BD" w:rsidP="001D4014">
      <w:pPr>
        <w:ind w:right="-1333"/>
        <w:jc w:val="right"/>
        <w:rPr>
          <w:rFonts w:eastAsia="Arial Unicode MS"/>
          <w:i/>
          <w:szCs w:val="24"/>
          <w:lang w:eastAsia="lv-LV"/>
        </w:rPr>
      </w:pPr>
    </w:p>
    <w:p w14:paraId="7DAB2951" w14:textId="77777777" w:rsidR="008951BD" w:rsidRDefault="008951BD" w:rsidP="00221889">
      <w:pPr>
        <w:rPr>
          <w:b/>
        </w:rPr>
      </w:pPr>
    </w:p>
    <w:p w14:paraId="43EAA09A" w14:textId="1DD4897C" w:rsidR="008951BD" w:rsidRPr="00317AFC" w:rsidRDefault="008951BD" w:rsidP="008951BD">
      <w:pPr>
        <w:jc w:val="center"/>
        <w:rPr>
          <w:b/>
          <w:szCs w:val="24"/>
        </w:rPr>
      </w:pPr>
      <w:r w:rsidRPr="00317AFC">
        <w:rPr>
          <w:b/>
        </w:rPr>
        <w:t>VAS </w:t>
      </w:r>
      <w:r w:rsidRPr="00317AFC">
        <w:rPr>
          <w:b/>
          <w:color w:val="222222"/>
        </w:rPr>
        <w:t>„</w:t>
      </w:r>
      <w:r w:rsidRPr="00317AFC">
        <w:rPr>
          <w:b/>
        </w:rPr>
        <w:t>Latvijas dzelzceļš</w:t>
      </w:r>
      <w:r w:rsidRPr="00317AFC">
        <w:rPr>
          <w:b/>
          <w:szCs w:val="24"/>
        </w:rPr>
        <w:t xml:space="preserve">” </w:t>
      </w:r>
    </w:p>
    <w:p w14:paraId="1B1FFA9B" w14:textId="77777777" w:rsidR="008951BD" w:rsidRPr="00317AFC" w:rsidRDefault="008951BD" w:rsidP="008951BD">
      <w:pPr>
        <w:ind w:left="142" w:right="-1"/>
        <w:jc w:val="center"/>
        <w:rPr>
          <w:b/>
          <w:szCs w:val="24"/>
        </w:rPr>
      </w:pPr>
      <w:r w:rsidRPr="00317AFC">
        <w:rPr>
          <w:b/>
          <w:szCs w:val="24"/>
        </w:rPr>
        <w:t>sarunu procedūras ar publikāciju</w:t>
      </w:r>
    </w:p>
    <w:p w14:paraId="34DDCACD" w14:textId="77777777" w:rsidR="008951BD" w:rsidRPr="00317AFC" w:rsidRDefault="008951BD" w:rsidP="008951BD">
      <w:pPr>
        <w:jc w:val="center"/>
        <w:rPr>
          <w:b/>
          <w:bCs/>
        </w:rPr>
      </w:pPr>
      <w:r w:rsidRPr="00317AFC">
        <w:rPr>
          <w:b/>
          <w:bCs/>
          <w:color w:val="222222"/>
        </w:rPr>
        <w:t>„</w:t>
      </w:r>
      <w:r w:rsidRPr="00317AFC">
        <w:rPr>
          <w:b/>
          <w:bCs/>
        </w:rPr>
        <w:t>Lokomotīvju videonovērošanas sistēmu (LVNS) piegāde un uzstādīšana</w:t>
      </w:r>
    </w:p>
    <w:p w14:paraId="3BB9E0AE" w14:textId="77777777" w:rsidR="008951BD" w:rsidRPr="00317AFC" w:rsidRDefault="008951BD" w:rsidP="008951BD">
      <w:pPr>
        <w:jc w:val="center"/>
        <w:rPr>
          <w:b/>
          <w:bCs/>
        </w:rPr>
      </w:pPr>
      <w:r w:rsidRPr="00317AFC">
        <w:rPr>
          <w:b/>
          <w:bCs/>
        </w:rPr>
        <w:t xml:space="preserve"> SIA „LDZ CARGO” vajadzībām”</w:t>
      </w:r>
    </w:p>
    <w:p w14:paraId="64ED549E" w14:textId="77777777" w:rsidR="008951BD" w:rsidRPr="00317AFC" w:rsidRDefault="008951BD" w:rsidP="008951BD">
      <w:pPr>
        <w:jc w:val="center"/>
        <w:rPr>
          <w:rFonts w:eastAsia="Calibri"/>
          <w:szCs w:val="24"/>
        </w:rPr>
      </w:pPr>
      <w:r w:rsidRPr="00317AFC">
        <w:rPr>
          <w:rFonts w:eastAsia="Calibri"/>
          <w:szCs w:val="24"/>
        </w:rPr>
        <w:t>(turpmāk – sarunu procedūra)</w:t>
      </w:r>
    </w:p>
    <w:p w14:paraId="7FD41054" w14:textId="77777777" w:rsidR="008951BD" w:rsidRPr="00317AFC" w:rsidRDefault="008951BD" w:rsidP="008951BD">
      <w:pPr>
        <w:ind w:left="284" w:right="282"/>
        <w:rPr>
          <w:rFonts w:eastAsia="Calibri"/>
        </w:rPr>
      </w:pPr>
    </w:p>
    <w:p w14:paraId="6FB73687" w14:textId="0453598C" w:rsidR="008951BD" w:rsidRDefault="008951BD" w:rsidP="00221889">
      <w:pPr>
        <w:ind w:left="284" w:right="282"/>
        <w:jc w:val="center"/>
        <w:rPr>
          <w:rFonts w:eastAsia="Calibri"/>
          <w:b/>
        </w:rPr>
      </w:pPr>
      <w:r w:rsidRPr="00317AFC">
        <w:rPr>
          <w:rFonts w:eastAsia="Calibri"/>
          <w:b/>
        </w:rPr>
        <w:t>Skaidrojums Nr.4</w:t>
      </w:r>
    </w:p>
    <w:p w14:paraId="0C9EF9AC" w14:textId="77777777" w:rsidR="00221889" w:rsidRPr="00221889" w:rsidRDefault="00221889" w:rsidP="00221889">
      <w:pPr>
        <w:ind w:left="284" w:right="282"/>
        <w:jc w:val="center"/>
        <w:rPr>
          <w:rFonts w:eastAsia="Calibri"/>
          <w:b/>
        </w:rPr>
      </w:pPr>
    </w:p>
    <w:p w14:paraId="4CB75E77" w14:textId="77777777" w:rsidR="001D4014" w:rsidRDefault="001D4014" w:rsidP="001D4014">
      <w:pPr>
        <w:ind w:right="-1"/>
        <w:jc w:val="right"/>
        <w:rPr>
          <w:rFonts w:ascii="Arial" w:hAnsi="Arial" w:cs="Arial"/>
        </w:rPr>
      </w:pPr>
    </w:p>
    <w:tbl>
      <w:tblPr>
        <w:tblW w:w="1070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4"/>
        <w:gridCol w:w="4889"/>
      </w:tblGrid>
      <w:tr w:rsidR="008951BD" w:rsidRPr="008951BD" w14:paraId="3006A2D6" w14:textId="77777777" w:rsidTr="008951BD">
        <w:trPr>
          <w:trHeight w:val="446"/>
        </w:trPr>
        <w:tc>
          <w:tcPr>
            <w:tcW w:w="708" w:type="dxa"/>
            <w:shd w:val="clear" w:color="auto" w:fill="FFF2CC"/>
            <w:vAlign w:val="center"/>
          </w:tcPr>
          <w:p w14:paraId="623A3F27" w14:textId="77777777" w:rsidR="008951BD" w:rsidRPr="008951BD" w:rsidRDefault="008951BD" w:rsidP="008951BD">
            <w:pPr>
              <w:jc w:val="center"/>
              <w:rPr>
                <w:rFonts w:eastAsia="Calibri"/>
                <w:b/>
                <w:szCs w:val="24"/>
              </w:rPr>
            </w:pPr>
            <w:r w:rsidRPr="008951BD">
              <w:rPr>
                <w:rFonts w:eastAsia="Calibri"/>
                <w:b/>
                <w:szCs w:val="24"/>
              </w:rPr>
              <w:t>Nr.</w:t>
            </w:r>
          </w:p>
          <w:p w14:paraId="6F959A40" w14:textId="77777777" w:rsidR="008951BD" w:rsidRPr="008951BD" w:rsidRDefault="008951BD" w:rsidP="008951BD">
            <w:pPr>
              <w:jc w:val="center"/>
              <w:rPr>
                <w:rFonts w:eastAsia="Calibri"/>
                <w:b/>
                <w:szCs w:val="24"/>
              </w:rPr>
            </w:pPr>
            <w:r w:rsidRPr="008951BD">
              <w:rPr>
                <w:rFonts w:eastAsia="Calibri"/>
                <w:b/>
                <w:szCs w:val="24"/>
              </w:rPr>
              <w:t>p.k.</w:t>
            </w:r>
          </w:p>
        </w:tc>
        <w:tc>
          <w:tcPr>
            <w:tcW w:w="5104" w:type="dxa"/>
            <w:shd w:val="clear" w:color="auto" w:fill="FFF2CC"/>
            <w:vAlign w:val="center"/>
          </w:tcPr>
          <w:p w14:paraId="594B7658" w14:textId="77777777" w:rsidR="008951BD" w:rsidRPr="008951BD" w:rsidRDefault="008951BD" w:rsidP="008951BD">
            <w:pPr>
              <w:jc w:val="center"/>
              <w:rPr>
                <w:rFonts w:eastAsia="Calibri"/>
                <w:b/>
                <w:i/>
                <w:szCs w:val="24"/>
              </w:rPr>
            </w:pPr>
            <w:r w:rsidRPr="008951BD">
              <w:rPr>
                <w:rFonts w:eastAsia="Calibri"/>
                <w:b/>
                <w:i/>
                <w:szCs w:val="24"/>
              </w:rPr>
              <w:t>Jautājums</w:t>
            </w:r>
          </w:p>
        </w:tc>
        <w:tc>
          <w:tcPr>
            <w:tcW w:w="4889" w:type="dxa"/>
            <w:shd w:val="clear" w:color="auto" w:fill="FFF2CC"/>
            <w:vAlign w:val="center"/>
          </w:tcPr>
          <w:p w14:paraId="3F07F9CA" w14:textId="77777777" w:rsidR="008951BD" w:rsidRPr="008951BD" w:rsidRDefault="008951BD" w:rsidP="008951BD">
            <w:pPr>
              <w:jc w:val="center"/>
              <w:rPr>
                <w:rFonts w:eastAsia="Calibri"/>
                <w:b/>
                <w:i/>
                <w:szCs w:val="24"/>
              </w:rPr>
            </w:pPr>
            <w:r w:rsidRPr="008951BD">
              <w:rPr>
                <w:rFonts w:eastAsia="Calibri"/>
                <w:b/>
                <w:i/>
                <w:szCs w:val="24"/>
              </w:rPr>
              <w:t>Atbilde</w:t>
            </w:r>
          </w:p>
        </w:tc>
      </w:tr>
      <w:tr w:rsidR="008951BD" w:rsidRPr="008951BD" w14:paraId="63512FEE" w14:textId="77777777" w:rsidTr="008951BD">
        <w:trPr>
          <w:trHeight w:val="380"/>
        </w:trPr>
        <w:tc>
          <w:tcPr>
            <w:tcW w:w="708" w:type="dxa"/>
            <w:shd w:val="clear" w:color="auto" w:fill="auto"/>
          </w:tcPr>
          <w:p w14:paraId="09A1A72A" w14:textId="77777777" w:rsidR="008951BD" w:rsidRPr="008951BD" w:rsidRDefault="008951BD" w:rsidP="008951BD">
            <w:pPr>
              <w:jc w:val="center"/>
              <w:rPr>
                <w:rFonts w:eastAsia="Calibri"/>
                <w:szCs w:val="24"/>
              </w:rPr>
            </w:pPr>
            <w:r w:rsidRPr="008951BD">
              <w:rPr>
                <w:rFonts w:eastAsia="Calibri"/>
                <w:szCs w:val="24"/>
              </w:rPr>
              <w:t>1.</w:t>
            </w:r>
          </w:p>
        </w:tc>
        <w:tc>
          <w:tcPr>
            <w:tcW w:w="5104" w:type="dxa"/>
            <w:shd w:val="clear" w:color="auto" w:fill="auto"/>
          </w:tcPr>
          <w:p w14:paraId="1996AB4F" w14:textId="77777777" w:rsidR="008951BD" w:rsidRPr="008951BD" w:rsidRDefault="008951BD" w:rsidP="008951BD">
            <w:pPr>
              <w:rPr>
                <w:rFonts w:eastAsia="Times New Roman"/>
                <w:szCs w:val="24"/>
              </w:rPr>
            </w:pPr>
            <w:r w:rsidRPr="008951BD">
              <w:rPr>
                <w:rFonts w:eastAsia="Times New Roman"/>
                <w:szCs w:val="24"/>
              </w:rPr>
              <w:t xml:space="preserve">Lūdzam sniegt papildu informāciju par punktu </w:t>
            </w:r>
            <w:r w:rsidRPr="008951BD">
              <w:rPr>
                <w:color w:val="222222"/>
              </w:rPr>
              <w:t>„a” no Tehniskās specifikācijas sadaļas „Integrācija”. Lūdzu, izskaidrot, kurā sistēmā mums jāintegrē: sistēmas nosaukums, tehniskā dokumentācija, integrācijas protokoli.</w:t>
            </w:r>
          </w:p>
        </w:tc>
        <w:tc>
          <w:tcPr>
            <w:tcW w:w="4889" w:type="dxa"/>
            <w:shd w:val="clear" w:color="auto" w:fill="auto"/>
          </w:tcPr>
          <w:p w14:paraId="4436C041" w14:textId="77777777" w:rsidR="008951BD" w:rsidRPr="008951BD" w:rsidRDefault="008951BD" w:rsidP="008951BD">
            <w:pPr>
              <w:rPr>
                <w:bCs/>
                <w:szCs w:val="24"/>
              </w:rPr>
            </w:pPr>
            <w:r w:rsidRPr="008951BD">
              <w:rPr>
                <w:bCs/>
                <w:color w:val="222222"/>
                <w:szCs w:val="24"/>
              </w:rPr>
              <w:t>„</w:t>
            </w:r>
            <w:r w:rsidRPr="008951BD">
              <w:rPr>
                <w:bCs/>
                <w:szCs w:val="24"/>
              </w:rPr>
              <w:t xml:space="preserve">Latvijas dzelzceļš” </w:t>
            </w:r>
            <w:r w:rsidRPr="008951BD">
              <w:rPr>
                <w:rFonts w:eastAsia="Times New Roman"/>
                <w:bCs/>
                <w:szCs w:val="24"/>
                <w:lang w:eastAsia="lv-LV"/>
              </w:rPr>
              <w:t xml:space="preserve"> koncernā ekspluatācijā ir nodota sistēma, kurā pasūtītājs vēlas atspoguļot videoattēlu:</w:t>
            </w:r>
          </w:p>
          <w:p w14:paraId="037A4D31" w14:textId="77777777" w:rsidR="008951BD" w:rsidRPr="008951BD" w:rsidRDefault="008951BD" w:rsidP="008951BD">
            <w:pPr>
              <w:numPr>
                <w:ilvl w:val="0"/>
                <w:numId w:val="4"/>
              </w:numPr>
              <w:tabs>
                <w:tab w:val="left" w:pos="180"/>
              </w:tabs>
              <w:spacing w:line="252" w:lineRule="auto"/>
              <w:ind w:left="38" w:hanging="38"/>
              <w:rPr>
                <w:rFonts w:eastAsia="Calibri"/>
                <w:bCs/>
                <w:szCs w:val="24"/>
                <w:lang w:eastAsia="lv-LV"/>
              </w:rPr>
            </w:pPr>
            <w:r w:rsidRPr="008951BD">
              <w:rPr>
                <w:rFonts w:eastAsia="Times New Roman"/>
                <w:bCs/>
                <w:i/>
                <w:iCs/>
                <w:szCs w:val="24"/>
                <w:lang w:eastAsia="lv-LV"/>
              </w:rPr>
              <w:t>TrackPro</w:t>
            </w:r>
            <w:r w:rsidRPr="008951BD">
              <w:rPr>
                <w:rFonts w:eastAsia="Times New Roman"/>
                <w:bCs/>
                <w:szCs w:val="24"/>
                <w:lang w:eastAsia="lv-LV"/>
              </w:rPr>
              <w:t xml:space="preserve"> - </w:t>
            </w:r>
            <w:r w:rsidRPr="008951BD">
              <w:rPr>
                <w:rFonts w:eastAsia="Calibri"/>
                <w:bCs/>
                <w:szCs w:val="24"/>
                <w:lang w:eastAsia="lv-LV"/>
              </w:rPr>
              <w:t xml:space="preserve">informācijas apstrādes programmatūras pirmkods ir tā ražotāja īpašums (SIA </w:t>
            </w:r>
            <w:r w:rsidRPr="008951BD">
              <w:rPr>
                <w:rFonts w:eastAsia="Calibri"/>
                <w:bCs/>
                <w:color w:val="222222"/>
                <w:szCs w:val="24"/>
                <w:lang w:eastAsia="lv-LV"/>
              </w:rPr>
              <w:t>„</w:t>
            </w:r>
            <w:r w:rsidRPr="008951BD">
              <w:rPr>
                <w:rFonts w:eastAsia="Calibri"/>
                <w:bCs/>
                <w:szCs w:val="24"/>
                <w:lang w:eastAsia="lv-LV"/>
              </w:rPr>
              <w:t>TomWare Latvija”).</w:t>
            </w:r>
          </w:p>
          <w:p w14:paraId="05F00089" w14:textId="77777777" w:rsidR="008951BD" w:rsidRPr="008951BD" w:rsidRDefault="008951BD" w:rsidP="008951BD">
            <w:pPr>
              <w:autoSpaceDE w:val="0"/>
              <w:autoSpaceDN w:val="0"/>
              <w:spacing w:line="252" w:lineRule="auto"/>
              <w:ind w:left="38"/>
              <w:rPr>
                <w:rFonts w:eastAsia="Times New Roman"/>
                <w:szCs w:val="24"/>
                <w:lang w:eastAsia="lv-LV"/>
              </w:rPr>
            </w:pPr>
            <w:r w:rsidRPr="008951BD">
              <w:rPr>
                <w:bCs/>
                <w:szCs w:val="24"/>
                <w:lang w:eastAsia="lv-LV"/>
              </w:rPr>
              <w:t>Norādām, ka saskaņā ar noslēgtā līguma konfidencialitātes noteikumiem par iepriekš minēto integrācijas sistēmu ar attiecīgo ražotāju, tehniskās dokumentācijas un integrācijas protokolu izplatīšana trešajām personām nav pieļaujama.</w:t>
            </w:r>
          </w:p>
        </w:tc>
      </w:tr>
      <w:tr w:rsidR="008951BD" w:rsidRPr="008951BD" w14:paraId="427DF808" w14:textId="77777777" w:rsidTr="008951BD">
        <w:trPr>
          <w:trHeight w:val="190"/>
        </w:trPr>
        <w:tc>
          <w:tcPr>
            <w:tcW w:w="708" w:type="dxa"/>
            <w:shd w:val="clear" w:color="auto" w:fill="auto"/>
          </w:tcPr>
          <w:p w14:paraId="3CA8A516" w14:textId="77777777" w:rsidR="008951BD" w:rsidRPr="008951BD" w:rsidRDefault="008951BD" w:rsidP="008951BD">
            <w:pPr>
              <w:jc w:val="center"/>
              <w:rPr>
                <w:rFonts w:eastAsia="Calibri"/>
                <w:szCs w:val="24"/>
              </w:rPr>
            </w:pPr>
            <w:r w:rsidRPr="008951BD">
              <w:rPr>
                <w:rFonts w:eastAsia="Calibri"/>
                <w:szCs w:val="24"/>
              </w:rPr>
              <w:t>2.</w:t>
            </w:r>
          </w:p>
        </w:tc>
        <w:tc>
          <w:tcPr>
            <w:tcW w:w="5104" w:type="dxa"/>
            <w:shd w:val="clear" w:color="auto" w:fill="auto"/>
          </w:tcPr>
          <w:p w14:paraId="2CD21EDA" w14:textId="77777777" w:rsidR="008951BD" w:rsidRPr="008951BD" w:rsidRDefault="008951BD" w:rsidP="008951BD">
            <w:pPr>
              <w:ind w:left="284"/>
              <w:jc w:val="left"/>
              <w:rPr>
                <w:rFonts w:cstheme="minorBidi"/>
                <w:lang w:val="ru-RU"/>
              </w:rPr>
            </w:pPr>
            <w:r w:rsidRPr="008951BD">
              <w:rPr>
                <w:rFonts w:cstheme="minorBidi"/>
                <w:lang w:val="ru-RU"/>
              </w:rPr>
              <w:t>Tehniskās specifikācijas prasība:</w:t>
            </w:r>
          </w:p>
          <w:tbl>
            <w:tblPr>
              <w:tblW w:w="4868"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64"/>
            </w:tblGrid>
            <w:tr w:rsidR="008951BD" w:rsidRPr="008951BD" w14:paraId="37800D77" w14:textId="77777777" w:rsidTr="008951BD">
              <w:trPr>
                <w:cantSplit/>
                <w:trHeight w:val="1738"/>
                <w:tblCellSpacing w:w="11" w:type="dxa"/>
              </w:trPr>
              <w:tc>
                <w:tcPr>
                  <w:tcW w:w="671" w:type="dxa"/>
                  <w:tcBorders>
                    <w:top w:val="single" w:sz="4" w:space="0" w:color="auto"/>
                    <w:left w:val="single" w:sz="4" w:space="0" w:color="auto"/>
                    <w:bottom w:val="single" w:sz="4" w:space="0" w:color="auto"/>
                    <w:right w:val="single" w:sz="4" w:space="0" w:color="auto"/>
                  </w:tcBorders>
                </w:tcPr>
                <w:p w14:paraId="13F64D37" w14:textId="77777777" w:rsidR="008951BD" w:rsidRPr="008951BD" w:rsidRDefault="008951BD" w:rsidP="008951BD">
                  <w:pPr>
                    <w:contextualSpacing/>
                    <w:jc w:val="center"/>
                    <w:rPr>
                      <w:sz w:val="20"/>
                      <w:szCs w:val="20"/>
                      <w:lang w:eastAsia="lv-LV"/>
                    </w:rPr>
                  </w:pPr>
                  <w:r w:rsidRPr="008951BD">
                    <w:rPr>
                      <w:sz w:val="20"/>
                      <w:szCs w:val="20"/>
                      <w:lang w:eastAsia="lv-LV"/>
                    </w:rPr>
                    <w:t>Datu nesējs</w:t>
                  </w:r>
                </w:p>
              </w:tc>
              <w:tc>
                <w:tcPr>
                  <w:tcW w:w="4131" w:type="dxa"/>
                  <w:tcBorders>
                    <w:top w:val="single" w:sz="4" w:space="0" w:color="auto"/>
                    <w:left w:val="single" w:sz="4" w:space="0" w:color="auto"/>
                    <w:bottom w:val="single" w:sz="4" w:space="0" w:color="auto"/>
                    <w:right w:val="single" w:sz="4" w:space="0" w:color="auto"/>
                  </w:tcBorders>
                </w:tcPr>
                <w:p w14:paraId="6AFCFD69" w14:textId="77777777" w:rsidR="008951BD" w:rsidRPr="008951BD" w:rsidRDefault="008951BD" w:rsidP="008951BD">
                  <w:pPr>
                    <w:numPr>
                      <w:ilvl w:val="0"/>
                      <w:numId w:val="3"/>
                    </w:numPr>
                    <w:ind w:left="446"/>
                    <w:contextualSpacing/>
                    <w:rPr>
                      <w:rFonts w:eastAsia="Calibri"/>
                      <w:sz w:val="20"/>
                      <w:szCs w:val="20"/>
                      <w:lang w:eastAsia="lv-LV"/>
                    </w:rPr>
                  </w:pPr>
                  <w:r w:rsidRPr="008951BD">
                    <w:rPr>
                      <w:rFonts w:eastAsia="Calibri"/>
                      <w:sz w:val="20"/>
                      <w:szCs w:val="20"/>
                      <w:lang w:eastAsia="lv-LV"/>
                    </w:rPr>
                    <w:t>Viss lokālā video arhīvs tiek saglabāts uz HDD/SSD ar apjomu ne mazāku par 2TB (jānodrošina ieraksts vismaz 160 stundām).</w:t>
                  </w:r>
                </w:p>
                <w:p w14:paraId="06929B76" w14:textId="77777777" w:rsidR="008951BD" w:rsidRPr="008951BD" w:rsidRDefault="008951BD" w:rsidP="008951BD">
                  <w:pPr>
                    <w:numPr>
                      <w:ilvl w:val="0"/>
                      <w:numId w:val="3"/>
                    </w:numPr>
                    <w:ind w:left="446"/>
                    <w:contextualSpacing/>
                    <w:rPr>
                      <w:rFonts w:eastAsia="Calibri"/>
                      <w:sz w:val="20"/>
                      <w:szCs w:val="20"/>
                      <w:lang w:eastAsia="lv-LV"/>
                    </w:rPr>
                  </w:pPr>
                  <w:r w:rsidRPr="008951BD">
                    <w:rPr>
                      <w:rFonts w:eastAsia="Calibri"/>
                      <w:sz w:val="20"/>
                      <w:szCs w:val="20"/>
                      <w:lang w:eastAsia="lv-LV"/>
                    </w:rPr>
                    <w:t>Lokālajam video arhīva datu nesējam jābūt aizsargātam pret vandālismu (metāla ietvarā ar vismaz IK 07 standartu) un vibrācijām atbilstoši vēlams EN50155 standarts (ja tiek izmantots HDD). Tam jābūt viegli noņemamam (apmaināmam pret rezerves HDD/SSD). Datu nesējam jābūt slēdzamam ar atslēgu</w:t>
                  </w:r>
                </w:p>
                <w:p w14:paraId="4162AA26" w14:textId="77777777" w:rsidR="008951BD" w:rsidRPr="008951BD" w:rsidRDefault="008951BD" w:rsidP="008951BD">
                  <w:pPr>
                    <w:numPr>
                      <w:ilvl w:val="0"/>
                      <w:numId w:val="3"/>
                    </w:numPr>
                    <w:ind w:left="446"/>
                    <w:contextualSpacing/>
                    <w:rPr>
                      <w:rFonts w:eastAsia="Calibri"/>
                      <w:sz w:val="20"/>
                      <w:szCs w:val="20"/>
                      <w:lang w:eastAsia="lv-LV"/>
                    </w:rPr>
                  </w:pPr>
                  <w:r w:rsidRPr="008951BD">
                    <w:rPr>
                      <w:rFonts w:eastAsia="Calibri"/>
                      <w:sz w:val="20"/>
                      <w:szCs w:val="20"/>
                      <w:lang w:eastAsia="lv-LV"/>
                    </w:rPr>
                    <w:t>..................................</w:t>
                  </w:r>
                </w:p>
                <w:p w14:paraId="01265B0F" w14:textId="77777777" w:rsidR="008951BD" w:rsidRPr="008951BD" w:rsidRDefault="008951BD" w:rsidP="008951BD">
                  <w:pPr>
                    <w:numPr>
                      <w:ilvl w:val="0"/>
                      <w:numId w:val="3"/>
                    </w:numPr>
                    <w:ind w:left="446"/>
                    <w:contextualSpacing/>
                    <w:rPr>
                      <w:rFonts w:eastAsia="Calibri"/>
                      <w:sz w:val="20"/>
                      <w:szCs w:val="20"/>
                      <w:lang w:eastAsia="lv-LV"/>
                    </w:rPr>
                  </w:pPr>
                  <w:r w:rsidRPr="008951BD">
                    <w:rPr>
                      <w:rFonts w:eastAsia="Calibri"/>
                      <w:sz w:val="20"/>
                      <w:szCs w:val="20"/>
                      <w:lang w:eastAsia="lv-LV"/>
                    </w:rPr>
                    <w:t>..................................</w:t>
                  </w:r>
                </w:p>
              </w:tc>
            </w:tr>
          </w:tbl>
          <w:p w14:paraId="46915EDB" w14:textId="77777777" w:rsidR="008951BD" w:rsidRPr="008951BD" w:rsidRDefault="008951BD" w:rsidP="008951BD">
            <w:pPr>
              <w:jc w:val="left"/>
              <w:rPr>
                <w:rFonts w:cstheme="minorBidi"/>
              </w:rPr>
            </w:pPr>
          </w:p>
          <w:p w14:paraId="51F0C795" w14:textId="77777777" w:rsidR="008951BD" w:rsidRPr="008951BD" w:rsidRDefault="008951BD" w:rsidP="008951BD">
            <w:pPr>
              <w:jc w:val="left"/>
              <w:rPr>
                <w:rFonts w:cstheme="minorBidi"/>
                <w:bCs/>
                <w:u w:val="single"/>
              </w:rPr>
            </w:pPr>
            <w:r w:rsidRPr="008951BD">
              <w:rPr>
                <w:rFonts w:cstheme="minorBidi"/>
                <w:bCs/>
                <w:u w:val="single"/>
              </w:rPr>
              <w:t>Jautājums:</w:t>
            </w:r>
          </w:p>
          <w:p w14:paraId="1D2578AC" w14:textId="77777777" w:rsidR="008951BD" w:rsidRPr="008951BD" w:rsidRDefault="008951BD" w:rsidP="008951BD">
            <w:pPr>
              <w:ind w:right="96"/>
              <w:rPr>
                <w:lang w:eastAsia="lv-LV"/>
              </w:rPr>
            </w:pPr>
            <w:r w:rsidRPr="008951BD">
              <w:t xml:space="preserve">Mūsu video novērošanas sistēmai ir risinājums, kas </w:t>
            </w:r>
            <w:r w:rsidRPr="008951BD">
              <w:rPr>
                <w:lang w:eastAsia="lv-LV"/>
              </w:rPr>
              <w:t xml:space="preserve">var nodrošināt ierakstu vairāk nekā 160 stundas ar apjomu 1,5TB (3 x 512Gb microSDXC lokālie video arhīvi, kuri ir instalēti slēdzamos datoros, kas kontrolē kameras; uz katra microSDXC atsevišķi tiek saglabāts ieraksts no divām kamerām). Šī risinājuma priekšrocība ir tāda ka, ja braukšanas laikā kāda iemesla dēļ viens no datoriem pārtrauks darboties, tad ierakstīšana citos microSDXC tiks turpināta. Vai tāds </w:t>
            </w:r>
            <w:r w:rsidRPr="008951BD">
              <w:rPr>
                <w:lang w:eastAsia="lv-LV"/>
              </w:rPr>
              <w:lastRenderedPageBreak/>
              <w:t>piedāvātais risinājums tiks uzskatīts par atbilstošu tehniskajai specifikācijai?</w:t>
            </w:r>
          </w:p>
        </w:tc>
        <w:tc>
          <w:tcPr>
            <w:tcW w:w="4889" w:type="dxa"/>
            <w:shd w:val="clear" w:color="auto" w:fill="auto"/>
          </w:tcPr>
          <w:p w14:paraId="41931448" w14:textId="77777777" w:rsidR="008951BD" w:rsidRPr="008951BD" w:rsidRDefault="008951BD" w:rsidP="008951BD">
            <w:pPr>
              <w:tabs>
                <w:tab w:val="left" w:pos="567"/>
                <w:tab w:val="center" w:pos="1134"/>
              </w:tabs>
              <w:rPr>
                <w:rFonts w:eastAsia="Times New Roman"/>
                <w:b/>
                <w:szCs w:val="24"/>
              </w:rPr>
            </w:pPr>
            <w:r w:rsidRPr="008951BD">
              <w:rPr>
                <w:rFonts w:eastAsia="Times New Roman"/>
                <w:szCs w:val="24"/>
              </w:rPr>
              <w:lastRenderedPageBreak/>
              <w:t xml:space="preserve">Piedāvātais risinājums netiks uzskatīts par atbilstošu, jo neatbilst sarunu procedūras nolikuma 3.pielikumā </w:t>
            </w:r>
            <w:r w:rsidRPr="008951BD">
              <w:rPr>
                <w:rFonts w:eastAsia="Times New Roman"/>
                <w:bCs/>
                <w:color w:val="222222"/>
                <w:szCs w:val="24"/>
              </w:rPr>
              <w:t xml:space="preserve">„Tehniskā specifikācija” noteiktajām prasībām, proti, </w:t>
            </w:r>
            <w:r w:rsidRPr="008951BD">
              <w:rPr>
                <w:rFonts w:eastAsia="Times New Roman"/>
                <w:szCs w:val="24"/>
              </w:rPr>
              <w:t xml:space="preserve"> saskaņā ar minēto sarunu procedūras nolikuma pielikumu, nepieciešams, lai visi video ieraksta dati glabājas vienā datu nesējā, lai būtu iespēja to operatīvi noņemt vai apmainīt. Norādām, ka kā datu nesēji var tikt izmantotas tikai HDD vai SSD ierīces.  </w:t>
            </w:r>
          </w:p>
        </w:tc>
      </w:tr>
      <w:tr w:rsidR="008951BD" w:rsidRPr="008951BD" w14:paraId="445F5819" w14:textId="77777777" w:rsidTr="008951BD">
        <w:trPr>
          <w:trHeight w:val="190"/>
        </w:trPr>
        <w:tc>
          <w:tcPr>
            <w:tcW w:w="708" w:type="dxa"/>
            <w:shd w:val="clear" w:color="auto" w:fill="auto"/>
          </w:tcPr>
          <w:p w14:paraId="75A117A1" w14:textId="77777777" w:rsidR="008951BD" w:rsidRPr="008951BD" w:rsidRDefault="008951BD" w:rsidP="008951BD">
            <w:pPr>
              <w:jc w:val="center"/>
              <w:rPr>
                <w:rFonts w:eastAsia="Calibri"/>
                <w:szCs w:val="24"/>
              </w:rPr>
            </w:pPr>
            <w:r w:rsidRPr="008951BD">
              <w:rPr>
                <w:rFonts w:eastAsia="Calibri"/>
                <w:szCs w:val="24"/>
              </w:rPr>
              <w:t>3.</w:t>
            </w:r>
          </w:p>
        </w:tc>
        <w:tc>
          <w:tcPr>
            <w:tcW w:w="5104" w:type="dxa"/>
            <w:shd w:val="clear" w:color="auto" w:fill="auto"/>
          </w:tcPr>
          <w:p w14:paraId="40147BB1" w14:textId="77777777" w:rsidR="008951BD" w:rsidRPr="008951BD" w:rsidRDefault="008951BD" w:rsidP="008951BD">
            <w:pPr>
              <w:jc w:val="left"/>
              <w:rPr>
                <w:rFonts w:cstheme="minorBidi"/>
                <w:szCs w:val="24"/>
              </w:rPr>
            </w:pPr>
            <w:r w:rsidRPr="008951BD">
              <w:rPr>
                <w:rFonts w:cstheme="minorBidi"/>
                <w:szCs w:val="24"/>
              </w:rPr>
              <w:t>Lūdzam, nodrošināt piekļuvi lokomotīvēm ČME-3 un ČME3ME apskatīšanai un norādīt atbildīgās personas kontaktinformāciju.</w:t>
            </w:r>
          </w:p>
        </w:tc>
        <w:tc>
          <w:tcPr>
            <w:tcW w:w="4889" w:type="dxa"/>
            <w:shd w:val="clear" w:color="auto" w:fill="auto"/>
          </w:tcPr>
          <w:p w14:paraId="6CDA070C" w14:textId="4489236A" w:rsidR="008951BD" w:rsidRPr="008951BD" w:rsidRDefault="008951BD" w:rsidP="008951BD">
            <w:pPr>
              <w:spacing w:line="252" w:lineRule="auto"/>
              <w:rPr>
                <w:szCs w:val="24"/>
              </w:rPr>
            </w:pPr>
            <w:r w:rsidRPr="008951BD">
              <w:rPr>
                <w:szCs w:val="24"/>
              </w:rPr>
              <w:t xml:space="preserve">Piekļuve ČME-3 sērijas lokomotīves apskatei tiks nodrošināta ieinteresētajiem piegādātājiem </w:t>
            </w:r>
            <w:r w:rsidRPr="008951BD">
              <w:rPr>
                <w:b/>
                <w:bCs/>
                <w:szCs w:val="24"/>
              </w:rPr>
              <w:t>2020.gada 14.jūlijā</w:t>
            </w:r>
            <w:r w:rsidRPr="008951BD">
              <w:rPr>
                <w:szCs w:val="24"/>
              </w:rPr>
              <w:t xml:space="preserve"> </w:t>
            </w:r>
            <w:r w:rsidRPr="008951BD">
              <w:rPr>
                <w:b/>
                <w:bCs/>
                <w:szCs w:val="24"/>
              </w:rPr>
              <w:t>laika posmā no plkst. 10.</w:t>
            </w:r>
            <w:r w:rsidRPr="008951BD">
              <w:rPr>
                <w:b/>
                <w:bCs/>
                <w:szCs w:val="24"/>
                <w:vertAlign w:val="superscript"/>
              </w:rPr>
              <w:t>00</w:t>
            </w:r>
            <w:r w:rsidRPr="008951BD">
              <w:rPr>
                <w:b/>
                <w:bCs/>
                <w:szCs w:val="24"/>
              </w:rPr>
              <w:t xml:space="preserve"> līdz plkst. 11.</w:t>
            </w:r>
            <w:r w:rsidRPr="008951BD">
              <w:rPr>
                <w:b/>
                <w:bCs/>
                <w:szCs w:val="24"/>
                <w:vertAlign w:val="superscript"/>
              </w:rPr>
              <w:t>00</w:t>
            </w:r>
            <w:r w:rsidRPr="008951BD">
              <w:rPr>
                <w:szCs w:val="24"/>
              </w:rPr>
              <w:t>,</w:t>
            </w:r>
            <w:r w:rsidRPr="008951BD">
              <w:rPr>
                <w:b/>
                <w:bCs/>
                <w:szCs w:val="24"/>
              </w:rPr>
              <w:t xml:space="preserve"> </w:t>
            </w:r>
            <w:r w:rsidRPr="008951BD">
              <w:rPr>
                <w:color w:val="000000"/>
                <w:szCs w:val="24"/>
                <w:u w:val="single"/>
              </w:rPr>
              <w:t>Krustpils ielā 24</w:t>
            </w:r>
            <w:r w:rsidRPr="008951BD">
              <w:rPr>
                <w:szCs w:val="24"/>
                <w:u w:val="single"/>
              </w:rPr>
              <w:t>, Rīgā, LV-1057, Latvijā</w:t>
            </w:r>
            <w:r w:rsidRPr="008951BD">
              <w:rPr>
                <w:szCs w:val="24"/>
              </w:rPr>
              <w:t xml:space="preserve">. Norādām, ka ČME3ME sērijas lokomotīves apskate netiks nodrošināta, jo minētās sērijas lokomotīves atrodas darba stāvoklī attālinātās stacijās.  </w:t>
            </w:r>
          </w:p>
          <w:p w14:paraId="034D37B9" w14:textId="390589AD" w:rsidR="008951BD" w:rsidRPr="008951BD" w:rsidRDefault="008951BD" w:rsidP="008951BD">
            <w:pPr>
              <w:tabs>
                <w:tab w:val="left" w:pos="567"/>
                <w:tab w:val="center" w:pos="1134"/>
              </w:tabs>
              <w:rPr>
                <w:rFonts w:eastAsia="Times New Roman"/>
                <w:b/>
                <w:szCs w:val="24"/>
              </w:rPr>
            </w:pPr>
            <w:r w:rsidRPr="008951BD">
              <w:rPr>
                <w:rFonts w:eastAsia="Times New Roman"/>
                <w:szCs w:val="24"/>
              </w:rPr>
              <w:t xml:space="preserve">Pretendentiem, kuri vēlas ierasties uz lokomotīves apskati noteiktajā datumā un laikā, nepieciešams iepriekš saskaņot ierašanos ar SIA </w:t>
            </w:r>
            <w:r w:rsidRPr="008951BD">
              <w:rPr>
                <w:rFonts w:eastAsia="Times New Roman"/>
                <w:bCs/>
                <w:color w:val="222222"/>
                <w:szCs w:val="24"/>
              </w:rPr>
              <w:t>„</w:t>
            </w:r>
            <w:r w:rsidRPr="008951BD">
              <w:rPr>
                <w:rFonts w:eastAsia="Times New Roman"/>
                <w:szCs w:val="24"/>
              </w:rPr>
              <w:t xml:space="preserve">LDZ CARGO” Lokomotīvju ekspluatācijas daļas vadītāju V.Ņizkodubovu, mobilais tālr.: </w:t>
            </w:r>
            <w:r w:rsidR="0034585A">
              <w:rPr>
                <w:rFonts w:eastAsia="Times New Roman"/>
                <w:szCs w:val="24"/>
              </w:rPr>
              <w:t xml:space="preserve">+371 </w:t>
            </w:r>
            <w:r w:rsidRPr="008951BD">
              <w:rPr>
                <w:rFonts w:eastAsia="Times New Roman"/>
                <w:szCs w:val="24"/>
              </w:rPr>
              <w:t xml:space="preserve">29531923, e-pasta adrese: </w:t>
            </w:r>
            <w:r w:rsidRPr="008951BD">
              <w:rPr>
                <w:rFonts w:eastAsia="Times New Roman"/>
                <w:i/>
                <w:iCs/>
                <w:szCs w:val="24"/>
              </w:rPr>
              <w:t>valerijs.nizkodubovs@ldz.lv.</w:t>
            </w:r>
          </w:p>
        </w:tc>
      </w:tr>
      <w:tr w:rsidR="008951BD" w:rsidRPr="008951BD" w14:paraId="66115D40" w14:textId="77777777" w:rsidTr="008951BD">
        <w:trPr>
          <w:trHeight w:val="190"/>
        </w:trPr>
        <w:tc>
          <w:tcPr>
            <w:tcW w:w="708" w:type="dxa"/>
            <w:shd w:val="clear" w:color="auto" w:fill="auto"/>
          </w:tcPr>
          <w:p w14:paraId="18C39127" w14:textId="77777777" w:rsidR="008951BD" w:rsidRPr="008951BD" w:rsidRDefault="008951BD" w:rsidP="008951BD">
            <w:pPr>
              <w:jc w:val="center"/>
              <w:rPr>
                <w:rFonts w:eastAsia="Calibri"/>
                <w:szCs w:val="24"/>
              </w:rPr>
            </w:pPr>
            <w:bookmarkStart w:id="0" w:name="_Hlk45271299"/>
            <w:r w:rsidRPr="008951BD">
              <w:rPr>
                <w:rFonts w:eastAsia="Calibri"/>
                <w:szCs w:val="24"/>
              </w:rPr>
              <w:t>4.</w:t>
            </w:r>
          </w:p>
        </w:tc>
        <w:tc>
          <w:tcPr>
            <w:tcW w:w="5104" w:type="dxa"/>
            <w:shd w:val="clear" w:color="auto" w:fill="auto"/>
          </w:tcPr>
          <w:p w14:paraId="21A43606" w14:textId="77777777" w:rsidR="008951BD" w:rsidRPr="008951BD" w:rsidRDefault="008951BD" w:rsidP="008951BD">
            <w:pPr>
              <w:pBdr>
                <w:top w:val="nil"/>
                <w:left w:val="nil"/>
                <w:bottom w:val="nil"/>
                <w:right w:val="nil"/>
                <w:between w:val="nil"/>
              </w:pBdr>
              <w:rPr>
                <w:color w:val="000000"/>
              </w:rPr>
            </w:pPr>
            <w:r w:rsidRPr="008951BD">
              <w:rPr>
                <w:color w:val="000000"/>
              </w:rPr>
              <w:t>Sarunu procedūras nolikuma 1.pielikumā punktā 4.2. ir noteikta kvalifikācijas prasība pretendents pēdējo 3 (trīs) darbības gadu laikā ir veicis vismaz 1 (vienu) iepirkuma priekšmetam līdzīga satura un apjoma līgumu, proti, pretendentam ir pieredze videonovērošanas sistēmu piegādē un uzstādīšanā transporta līdzekļos vismaz vienā līgumā. Vai prasība tiks pilnībā izpildīta, ja pretendents 2016.gada nogalē ir noslēdzis līgumu par videonovērošanas sistēmu piegādi un uzstādīšanu transporta līdzeklī (lokomotīvē) un līguma saistības pilnā apmērā ir izpildītas 2017.gadā?</w:t>
            </w:r>
          </w:p>
        </w:tc>
        <w:tc>
          <w:tcPr>
            <w:tcW w:w="4889" w:type="dxa"/>
            <w:shd w:val="clear" w:color="auto" w:fill="auto"/>
          </w:tcPr>
          <w:p w14:paraId="33B94824" w14:textId="77777777" w:rsidR="008951BD" w:rsidRPr="008951BD" w:rsidRDefault="008951BD" w:rsidP="008951BD">
            <w:pPr>
              <w:tabs>
                <w:tab w:val="left" w:pos="567"/>
                <w:tab w:val="center" w:pos="1134"/>
              </w:tabs>
              <w:rPr>
                <w:rFonts w:eastAsia="Times New Roman"/>
                <w:b/>
                <w:szCs w:val="24"/>
              </w:rPr>
            </w:pPr>
            <w:r w:rsidRPr="008951BD">
              <w:rPr>
                <w:rFonts w:eastAsia="Times New Roman"/>
                <w:szCs w:val="24"/>
              </w:rPr>
              <w:t xml:space="preserve">Skaidrojam, ka sarunu procedūras nolikuma 1.pielikuma 4.2.punktā noteiktā kvalifikācijas prasība tiks uzskatīta par izpildītu. </w:t>
            </w:r>
          </w:p>
        </w:tc>
      </w:tr>
      <w:bookmarkEnd w:id="0"/>
      <w:tr w:rsidR="008951BD" w:rsidRPr="008951BD" w14:paraId="7DC73157" w14:textId="77777777" w:rsidTr="008951BD">
        <w:trPr>
          <w:trHeight w:val="190"/>
        </w:trPr>
        <w:tc>
          <w:tcPr>
            <w:tcW w:w="708" w:type="dxa"/>
            <w:shd w:val="clear" w:color="auto" w:fill="auto"/>
          </w:tcPr>
          <w:p w14:paraId="433347BA" w14:textId="77777777" w:rsidR="008951BD" w:rsidRPr="008951BD" w:rsidRDefault="008951BD" w:rsidP="008951BD">
            <w:pPr>
              <w:jc w:val="center"/>
              <w:rPr>
                <w:rFonts w:eastAsia="Calibri"/>
                <w:szCs w:val="24"/>
              </w:rPr>
            </w:pPr>
            <w:r w:rsidRPr="008951BD">
              <w:rPr>
                <w:rFonts w:eastAsia="Calibri"/>
                <w:szCs w:val="24"/>
              </w:rPr>
              <w:t>5.</w:t>
            </w:r>
          </w:p>
        </w:tc>
        <w:tc>
          <w:tcPr>
            <w:tcW w:w="5104" w:type="dxa"/>
            <w:shd w:val="clear" w:color="auto" w:fill="auto"/>
          </w:tcPr>
          <w:p w14:paraId="21537E7E" w14:textId="77777777" w:rsidR="008951BD" w:rsidRPr="008951BD" w:rsidRDefault="008951BD" w:rsidP="008951BD">
            <w:pPr>
              <w:pBdr>
                <w:top w:val="nil"/>
                <w:left w:val="nil"/>
                <w:bottom w:val="nil"/>
                <w:right w:val="nil"/>
                <w:between w:val="nil"/>
              </w:pBdr>
              <w:rPr>
                <w:color w:val="000000"/>
              </w:rPr>
            </w:pPr>
            <w:r w:rsidRPr="008951BD">
              <w:rPr>
                <w:color w:val="000000"/>
              </w:rPr>
              <w:t>Sarunu procedūras nolikuma 1.pielikumā 4.7.punktā un 1.9.15.punktā ir noteikta prasība uzstādāmās piedāvātās preces (iekārtu) tehnisko dokumentāciju (tehniskās pases kopijas vai sertifikātu kopijas vai ražotāja tehniskā apraksta kopijas, iekārtu dokumentācija, rokasgrāmatas un programmnodrošinājumu dokumentācija, iekārtu tehniskais apraksts), kas apliecina piedāvāto preču (iekārtu) atbilstību norādītajām tehniskajām prasībām un standartam vai ekvivalentam. Vai par visām piedāvātajām iekārtām un materiāliem jāiesniedz ražotāja tehniskā dokumentācija, kā arī vai šī tehniskā dokumentācija var tikt iesniegta ražotāja oriģinālvalodā (angļu valodā), neveicot dokumentācijas tulkojumu latviešu valodā? Vai prasība tiks pilnībā izpildīta, ja tiks iesniegts piedāvāto iekārtu CE sertifikāta apliecināta kopija?</w:t>
            </w:r>
          </w:p>
        </w:tc>
        <w:tc>
          <w:tcPr>
            <w:tcW w:w="4889" w:type="dxa"/>
            <w:shd w:val="clear" w:color="auto" w:fill="auto"/>
          </w:tcPr>
          <w:p w14:paraId="1B286C09" w14:textId="77777777" w:rsidR="008951BD" w:rsidRPr="008951BD" w:rsidRDefault="008951BD" w:rsidP="008951BD">
            <w:pPr>
              <w:contextualSpacing/>
              <w:rPr>
                <w:szCs w:val="24"/>
                <w:u w:val="single"/>
              </w:rPr>
            </w:pPr>
            <w:r w:rsidRPr="008951BD">
              <w:rPr>
                <w:szCs w:val="24"/>
              </w:rPr>
              <w:t xml:space="preserve">Norādām, ka saskaņā ar sarunu procedūras nolikuma 1.7.3.punktā noteikto noformēšanas prasību, pretendentam piedāvājumu jāiesniedz cauršūtu vai caurauklotu, rakstveidā </w:t>
            </w:r>
            <w:r w:rsidRPr="008951BD">
              <w:rPr>
                <w:szCs w:val="24"/>
                <w:u w:val="single"/>
              </w:rPr>
              <w:t>latviešu valodā</w:t>
            </w:r>
            <w:r w:rsidRPr="008951BD">
              <w:rPr>
                <w:szCs w:val="24"/>
              </w:rPr>
              <w:t xml:space="preserve"> vai </w:t>
            </w:r>
            <w:r w:rsidRPr="008951BD">
              <w:rPr>
                <w:szCs w:val="24"/>
                <w:u w:val="single"/>
              </w:rPr>
              <w:t>citā valodā, pievienojot apliecinātu tulkojumu latviešu valodā.</w:t>
            </w:r>
          </w:p>
          <w:p w14:paraId="78C55AF3" w14:textId="77777777" w:rsidR="008951BD" w:rsidRPr="008951BD" w:rsidRDefault="008951BD" w:rsidP="008951BD">
            <w:pPr>
              <w:contextualSpacing/>
              <w:rPr>
                <w:b/>
                <w:bCs/>
                <w:szCs w:val="24"/>
              </w:rPr>
            </w:pPr>
            <w:r w:rsidRPr="008951BD">
              <w:rPr>
                <w:szCs w:val="24"/>
              </w:rPr>
              <w:t>Izņēmums prasībai par piedāvājuma dokumentu (tulkojumu) iesniegšanu latviešu valodā var tikt piemērots uz sarunu procedūras nolikuma 1.pielikuma 4.7., 1.9.15., 1.9.16.  un 1.9.17.punktā noteikto iesniedzamo dokumentāciju, kas var tikt iesniegta angļu vai krievu valodā. Gadījumā, ja iepirkuma komisijai tomēr nebūs pilnībā saprotams minētās iesniegtās dokumentācijas saturs, tai ir tiesības pieprasīt no pretendenta tuvāko 3 (trīs) darba dienu laikā iesniegt atbilstošu tulkojumu latviešu valodā.</w:t>
            </w:r>
          </w:p>
          <w:p w14:paraId="463F19A2" w14:textId="77777777" w:rsidR="008951BD" w:rsidRPr="008951BD" w:rsidRDefault="008951BD" w:rsidP="008951BD">
            <w:pPr>
              <w:contextualSpacing/>
              <w:rPr>
                <w:color w:val="FF0000"/>
                <w:szCs w:val="24"/>
                <w:u w:val="single"/>
              </w:rPr>
            </w:pPr>
            <w:r w:rsidRPr="008951BD">
              <w:rPr>
                <w:szCs w:val="24"/>
              </w:rPr>
              <w:t>Vienlaikus norādām, ka pretendentam, kuram sarunu procedūras rezultātā tiks piešķirtas līguma slēgšanas tiesības, visu minēto tehnisko dokumentāciju būs nepieciešams iesniegt arī latviešu valodā (visiem tulkojumiem būs nepieciešams notariāls apliecinājums), kā arī būs nepieciešams iesniegt visu sertifikātu oriģinālus uzstādītās videonovērošanas sistēmas nodošanas brīdī.</w:t>
            </w:r>
          </w:p>
        </w:tc>
      </w:tr>
      <w:tr w:rsidR="008951BD" w:rsidRPr="008951BD" w14:paraId="1CC08FCD" w14:textId="77777777" w:rsidTr="008951BD">
        <w:trPr>
          <w:trHeight w:val="190"/>
        </w:trPr>
        <w:tc>
          <w:tcPr>
            <w:tcW w:w="708" w:type="dxa"/>
            <w:shd w:val="clear" w:color="auto" w:fill="auto"/>
          </w:tcPr>
          <w:p w14:paraId="5DBCE079" w14:textId="77777777" w:rsidR="008951BD" w:rsidRPr="008951BD" w:rsidRDefault="008951BD" w:rsidP="008951BD">
            <w:pPr>
              <w:jc w:val="center"/>
              <w:rPr>
                <w:rFonts w:eastAsia="Calibri"/>
                <w:szCs w:val="24"/>
              </w:rPr>
            </w:pPr>
            <w:r w:rsidRPr="008951BD">
              <w:rPr>
                <w:rFonts w:eastAsia="Calibri"/>
                <w:szCs w:val="24"/>
              </w:rPr>
              <w:lastRenderedPageBreak/>
              <w:t>6.</w:t>
            </w:r>
          </w:p>
        </w:tc>
        <w:tc>
          <w:tcPr>
            <w:tcW w:w="5104" w:type="dxa"/>
            <w:shd w:val="clear" w:color="auto" w:fill="auto"/>
          </w:tcPr>
          <w:p w14:paraId="31FC6430" w14:textId="77777777" w:rsidR="008951BD" w:rsidRPr="008951BD" w:rsidRDefault="008951BD" w:rsidP="008951BD">
            <w:pPr>
              <w:pBdr>
                <w:top w:val="nil"/>
                <w:left w:val="nil"/>
                <w:bottom w:val="nil"/>
                <w:right w:val="nil"/>
                <w:between w:val="nil"/>
              </w:pBdr>
              <w:rPr>
                <w:color w:val="000000"/>
              </w:rPr>
            </w:pPr>
            <w:r w:rsidRPr="008951BD">
              <w:rPr>
                <w:color w:val="000000"/>
              </w:rPr>
              <w:t>Sarunu procedūras nolikuma 3.pielikumā Tehniskā specifikācija tabulā pozīcijā integrācija ir noteikta prasība lokomotīvju videonovērošanas sistēmas (LVNS) piegādātājam jānodrošina risinājuma integrāciju Pasūtītāja esošā informācijas sistēmā, kurā ir iespējams attēlot videoattēlu. Lūdzu sniegt papildus informāciju par Pasūtītāja esošo informācijas sistēmu, kādus datu apmaiņas protokolus atbalsta esošā informācijas sistēma, lai veiktu integrāciju?</w:t>
            </w:r>
          </w:p>
        </w:tc>
        <w:tc>
          <w:tcPr>
            <w:tcW w:w="4889" w:type="dxa"/>
            <w:shd w:val="clear" w:color="auto" w:fill="auto"/>
          </w:tcPr>
          <w:p w14:paraId="3A9C644C" w14:textId="77777777" w:rsidR="008951BD" w:rsidRPr="008951BD" w:rsidRDefault="008951BD" w:rsidP="008951BD">
            <w:pPr>
              <w:autoSpaceDE w:val="0"/>
              <w:autoSpaceDN w:val="0"/>
              <w:spacing w:line="252" w:lineRule="auto"/>
              <w:ind w:left="38" w:hanging="38"/>
              <w:rPr>
                <w:rFonts w:eastAsia="Times New Roman"/>
                <w:szCs w:val="24"/>
                <w:lang w:eastAsia="lv-LV"/>
              </w:rPr>
            </w:pPr>
            <w:r w:rsidRPr="008951BD">
              <w:rPr>
                <w:bCs/>
                <w:color w:val="222222"/>
                <w:szCs w:val="24"/>
              </w:rPr>
              <w:t>Sk. atbildi uz 1.jautājumu.</w:t>
            </w:r>
          </w:p>
        </w:tc>
      </w:tr>
      <w:tr w:rsidR="008951BD" w:rsidRPr="008951BD" w14:paraId="44022AD6" w14:textId="77777777" w:rsidTr="008951BD">
        <w:trPr>
          <w:trHeight w:val="190"/>
        </w:trPr>
        <w:tc>
          <w:tcPr>
            <w:tcW w:w="708" w:type="dxa"/>
            <w:shd w:val="clear" w:color="auto" w:fill="auto"/>
          </w:tcPr>
          <w:p w14:paraId="22597D4C" w14:textId="77777777" w:rsidR="008951BD" w:rsidRPr="008951BD" w:rsidRDefault="008951BD" w:rsidP="008951BD">
            <w:pPr>
              <w:jc w:val="center"/>
              <w:rPr>
                <w:rFonts w:eastAsia="Calibri"/>
                <w:szCs w:val="24"/>
              </w:rPr>
            </w:pPr>
            <w:r w:rsidRPr="008951BD">
              <w:rPr>
                <w:rFonts w:eastAsia="Calibri"/>
                <w:szCs w:val="24"/>
              </w:rPr>
              <w:t>7.</w:t>
            </w:r>
          </w:p>
        </w:tc>
        <w:tc>
          <w:tcPr>
            <w:tcW w:w="5104" w:type="dxa"/>
            <w:shd w:val="clear" w:color="auto" w:fill="auto"/>
          </w:tcPr>
          <w:p w14:paraId="5E288D92" w14:textId="77777777" w:rsidR="008951BD" w:rsidRPr="008951BD" w:rsidRDefault="008951BD" w:rsidP="008951BD">
            <w:pPr>
              <w:rPr>
                <w:szCs w:val="24"/>
              </w:rPr>
            </w:pPr>
            <w:r w:rsidRPr="008951BD">
              <w:rPr>
                <w:szCs w:val="24"/>
              </w:rPr>
              <w:t>Sarunu procedūras nolikuma 3.pielikumā Tehniskā specifikācija tabulā pozīcijā integrācija ir noteikta prasība lokomotīvju videonovērošanas sistēmas (LVNS) piegādātājam jānodrošina risinājuma integrāciju ar „TRASSA-2” datiem (LDZ ekspluatācijā esoša lokomotīvju monitoringa sistēma), lai kameru skatā attēlotu lokomotīvju ātrumu un parametru vai dīzeļdzinējs ir iedarbināts. Lūdzu sniegt papildus informāciju par Pasūtītāja esošo informācijas sistēmu „TRASSA-2”, kādus datu apmaiņas protokolus atbalsta esošā informācijas sistēma, lai veiktu integrāciju?</w:t>
            </w:r>
          </w:p>
        </w:tc>
        <w:tc>
          <w:tcPr>
            <w:tcW w:w="4889" w:type="dxa"/>
            <w:shd w:val="clear" w:color="auto" w:fill="auto"/>
          </w:tcPr>
          <w:p w14:paraId="54CC0662" w14:textId="77777777" w:rsidR="008951BD" w:rsidRPr="008951BD" w:rsidRDefault="008951BD" w:rsidP="008951BD">
            <w:pPr>
              <w:autoSpaceDE w:val="0"/>
              <w:autoSpaceDN w:val="0"/>
              <w:spacing w:line="252" w:lineRule="auto"/>
              <w:rPr>
                <w:szCs w:val="24"/>
              </w:rPr>
            </w:pPr>
            <w:r w:rsidRPr="008951BD">
              <w:rPr>
                <w:szCs w:val="24"/>
                <w:lang w:eastAsia="lv-LV"/>
              </w:rPr>
              <w:t>Lokomotīvē uzstādīto devēju rādījumi tiek pārsūtīti no lokomotīves uz LDZ serveriem (</w:t>
            </w:r>
            <w:r w:rsidRPr="008951BD">
              <w:rPr>
                <w:i/>
                <w:iCs/>
                <w:szCs w:val="24"/>
                <w:lang w:eastAsia="lv-LV"/>
              </w:rPr>
              <w:t>TrackPro</w:t>
            </w:r>
            <w:r w:rsidRPr="008951BD">
              <w:rPr>
                <w:szCs w:val="24"/>
                <w:lang w:eastAsia="lv-LV"/>
              </w:rPr>
              <w:t xml:space="preserve"> programmatūra) caur slēgtu APN kanālu ar FMB bloka palīdzību (FMB bloka apraksts:</w:t>
            </w:r>
            <w:r w:rsidRPr="008951BD">
              <w:rPr>
                <w:szCs w:val="24"/>
              </w:rPr>
              <w:t xml:space="preserve"> </w:t>
            </w:r>
            <w:hyperlink r:id="rId7" w:anchor="downloads" w:history="1">
              <w:r w:rsidRPr="008951BD">
                <w:rPr>
                  <w:i/>
                  <w:iCs/>
                  <w:szCs w:val="24"/>
                </w:rPr>
                <w:t>https://teltonika-gps.com/product/fmb640/#downloads</w:t>
              </w:r>
            </w:hyperlink>
            <w:r w:rsidRPr="008951BD">
              <w:rPr>
                <w:szCs w:val="24"/>
              </w:rPr>
              <w:t>).</w:t>
            </w:r>
          </w:p>
          <w:p w14:paraId="321DD078" w14:textId="77777777" w:rsidR="008951BD" w:rsidRPr="008951BD" w:rsidRDefault="008951BD" w:rsidP="008951BD">
            <w:pPr>
              <w:autoSpaceDE w:val="0"/>
              <w:autoSpaceDN w:val="0"/>
              <w:spacing w:line="252" w:lineRule="auto"/>
              <w:rPr>
                <w:szCs w:val="24"/>
              </w:rPr>
            </w:pPr>
            <w:r w:rsidRPr="008951BD">
              <w:rPr>
                <w:szCs w:val="24"/>
              </w:rPr>
              <w:t xml:space="preserve">Papildus lūdzam skatīt VAS „Latvijas dzelzceļš” mājas lapā: </w:t>
            </w:r>
            <w:r w:rsidRPr="008951BD">
              <w:rPr>
                <w:i/>
                <w:iCs/>
                <w:szCs w:val="24"/>
              </w:rPr>
              <w:t>https://www.ldz.lv/lv/iepirkumi</w:t>
            </w:r>
            <w:r w:rsidRPr="008951BD">
              <w:rPr>
                <w:szCs w:val="24"/>
              </w:rPr>
              <w:t xml:space="preserve"> šī iepirkuma sadaļā publicēto pielikumu Skaidrojumam Nr.3 - </w:t>
            </w:r>
            <w:r w:rsidRPr="008951BD">
              <w:rPr>
                <w:szCs w:val="24"/>
                <w:u w:val="single"/>
              </w:rPr>
              <w:t xml:space="preserve">failu </w:t>
            </w:r>
            <w:r w:rsidRPr="008951BD">
              <w:rPr>
                <w:i/>
                <w:iCs/>
                <w:szCs w:val="24"/>
                <w:u w:val="single"/>
              </w:rPr>
              <w:t>PDF</w:t>
            </w:r>
            <w:r w:rsidRPr="008951BD">
              <w:rPr>
                <w:szCs w:val="24"/>
                <w:u w:val="single"/>
              </w:rPr>
              <w:t xml:space="preserve"> formātā: </w:t>
            </w:r>
            <w:r w:rsidRPr="008951BD">
              <w:rPr>
                <w:color w:val="222222"/>
                <w:szCs w:val="24"/>
                <w:u w:val="single"/>
              </w:rPr>
              <w:t>„</w:t>
            </w:r>
            <w:r w:rsidRPr="008951BD">
              <w:rPr>
                <w:szCs w:val="24"/>
                <w:u w:val="single"/>
              </w:rPr>
              <w:t>Datu vākšanas struktūra un tīkls”.</w:t>
            </w:r>
          </w:p>
          <w:p w14:paraId="3CD35087" w14:textId="77777777" w:rsidR="008951BD" w:rsidRPr="008951BD" w:rsidRDefault="008951BD" w:rsidP="008951BD">
            <w:pPr>
              <w:spacing w:line="252" w:lineRule="auto"/>
              <w:rPr>
                <w:szCs w:val="24"/>
              </w:rPr>
            </w:pPr>
            <w:r w:rsidRPr="008951BD">
              <w:rPr>
                <w:szCs w:val="24"/>
              </w:rPr>
              <w:t xml:space="preserve">Norādām, ka informācijas apstrādes programmatūras pirmkods ir tā ražotāja īpašums (SIA </w:t>
            </w:r>
            <w:r w:rsidRPr="008951BD">
              <w:rPr>
                <w:bCs/>
                <w:color w:val="222222"/>
                <w:szCs w:val="24"/>
              </w:rPr>
              <w:t>„</w:t>
            </w:r>
            <w:r w:rsidRPr="008951BD">
              <w:rPr>
                <w:szCs w:val="24"/>
              </w:rPr>
              <w:t>TomWare Latvija”).</w:t>
            </w:r>
          </w:p>
          <w:p w14:paraId="11C52915" w14:textId="77777777" w:rsidR="008951BD" w:rsidRPr="008951BD" w:rsidRDefault="008951BD" w:rsidP="008951BD">
            <w:pPr>
              <w:autoSpaceDE w:val="0"/>
              <w:autoSpaceDN w:val="0"/>
              <w:spacing w:line="252" w:lineRule="auto"/>
              <w:rPr>
                <w:szCs w:val="24"/>
                <w:lang w:eastAsia="lv-LV"/>
              </w:rPr>
            </w:pPr>
            <w:r w:rsidRPr="008951BD">
              <w:rPr>
                <w:szCs w:val="24"/>
                <w:lang w:eastAsia="lv-LV"/>
              </w:rPr>
              <w:t>Datus var saņemt trīs variantos:</w:t>
            </w:r>
          </w:p>
          <w:p w14:paraId="53C5BC88" w14:textId="77777777" w:rsidR="008951BD" w:rsidRPr="008951BD" w:rsidRDefault="008951BD" w:rsidP="008951BD">
            <w:pPr>
              <w:numPr>
                <w:ilvl w:val="0"/>
                <w:numId w:val="1"/>
              </w:numPr>
              <w:autoSpaceDE w:val="0"/>
              <w:autoSpaceDN w:val="0"/>
              <w:spacing w:line="252" w:lineRule="auto"/>
              <w:ind w:left="38" w:firstLine="322"/>
              <w:rPr>
                <w:rFonts w:eastAsia="Times New Roman"/>
                <w:szCs w:val="24"/>
                <w:lang w:eastAsia="lv-LV"/>
              </w:rPr>
            </w:pPr>
            <w:r w:rsidRPr="008951BD">
              <w:rPr>
                <w:rFonts w:eastAsia="Times New Roman"/>
                <w:szCs w:val="24"/>
                <w:lang w:eastAsia="lv-LV"/>
              </w:rPr>
              <w:t>pieslēgties un nolasīt telemetrijas radījumus no FMB bloka, pieslēguma shēmu nepieciešams saskaņot ar izstrādātāju/piegādātāju;</w:t>
            </w:r>
          </w:p>
          <w:p w14:paraId="63DE8632" w14:textId="31FAD975" w:rsidR="008951BD" w:rsidRPr="008951BD" w:rsidRDefault="002407AF" w:rsidP="008951BD">
            <w:pPr>
              <w:numPr>
                <w:ilvl w:val="0"/>
                <w:numId w:val="1"/>
              </w:numPr>
              <w:autoSpaceDE w:val="0"/>
              <w:autoSpaceDN w:val="0"/>
              <w:spacing w:line="252" w:lineRule="auto"/>
              <w:ind w:left="720"/>
              <w:rPr>
                <w:rFonts w:eastAsia="Times New Roman"/>
                <w:szCs w:val="24"/>
                <w:lang w:eastAsia="lv-LV"/>
              </w:rPr>
            </w:pPr>
            <w:r>
              <w:rPr>
                <w:rFonts w:eastAsia="Times New Roman"/>
                <w:szCs w:val="24"/>
                <w:lang w:eastAsia="lv-LV"/>
              </w:rPr>
              <w:t>s</w:t>
            </w:r>
            <w:r w:rsidR="008951BD" w:rsidRPr="008951BD">
              <w:rPr>
                <w:rFonts w:eastAsia="Times New Roman"/>
                <w:szCs w:val="24"/>
                <w:lang w:eastAsia="lv-LV"/>
              </w:rPr>
              <w:t>ig</w:t>
            </w:r>
            <w:bookmarkStart w:id="1" w:name="_GoBack"/>
            <w:bookmarkEnd w:id="1"/>
            <w:r w:rsidR="008951BD" w:rsidRPr="008951BD">
              <w:rPr>
                <w:rFonts w:eastAsia="Times New Roman"/>
                <w:szCs w:val="24"/>
                <w:lang w:eastAsia="lv-LV"/>
              </w:rPr>
              <w:t>nālu par dīzeļdzinēja darbību noņemt no devēja:</w:t>
            </w:r>
          </w:p>
          <w:p w14:paraId="6ACF0F5E" w14:textId="77777777" w:rsidR="008951BD" w:rsidRPr="008951BD" w:rsidRDefault="008951BD" w:rsidP="008951BD">
            <w:pPr>
              <w:numPr>
                <w:ilvl w:val="0"/>
                <w:numId w:val="2"/>
              </w:numPr>
              <w:tabs>
                <w:tab w:val="left" w:pos="1030"/>
              </w:tabs>
              <w:autoSpaceDE w:val="0"/>
              <w:autoSpaceDN w:val="0"/>
              <w:spacing w:line="252" w:lineRule="auto"/>
              <w:ind w:left="38" w:firstLine="709"/>
              <w:rPr>
                <w:rFonts w:eastAsia="Times New Roman"/>
                <w:szCs w:val="24"/>
                <w:lang w:eastAsia="lv-LV"/>
              </w:rPr>
            </w:pPr>
            <w:r w:rsidRPr="008951BD">
              <w:rPr>
                <w:rFonts w:eastAsia="Times New Roman"/>
                <w:szCs w:val="24"/>
                <w:lang w:eastAsia="lv-LV"/>
              </w:rPr>
              <w:t>ČME3M lokomotīves sērija pieslēdzoties pie releja KR31 209 (+) vada</w:t>
            </w:r>
          </w:p>
          <w:p w14:paraId="248D75DF" w14:textId="77777777" w:rsidR="008951BD" w:rsidRPr="008951BD" w:rsidRDefault="008951BD" w:rsidP="008951BD">
            <w:pPr>
              <w:numPr>
                <w:ilvl w:val="0"/>
                <w:numId w:val="2"/>
              </w:numPr>
              <w:tabs>
                <w:tab w:val="left" w:pos="1030"/>
              </w:tabs>
              <w:autoSpaceDE w:val="0"/>
              <w:autoSpaceDN w:val="0"/>
              <w:spacing w:line="252" w:lineRule="auto"/>
              <w:ind w:left="38" w:firstLine="709"/>
              <w:rPr>
                <w:rFonts w:eastAsia="Times New Roman"/>
                <w:szCs w:val="24"/>
                <w:lang w:eastAsia="lv-LV"/>
              </w:rPr>
            </w:pPr>
            <w:r w:rsidRPr="008951BD">
              <w:rPr>
                <w:rFonts w:eastAsia="Times New Roman"/>
                <w:szCs w:val="24"/>
                <w:lang w:eastAsia="lv-LV"/>
              </w:rPr>
              <w:t>ČME3 lokomotīves sērija pieslēdzoties pie spaiļu kopnes РШ5 vada 101 (-) un  РШ4 vada 150 (+).</w:t>
            </w:r>
          </w:p>
          <w:p w14:paraId="61EFB511" w14:textId="77777777" w:rsidR="008951BD" w:rsidRPr="008951BD" w:rsidRDefault="008951BD" w:rsidP="002407AF">
            <w:pPr>
              <w:numPr>
                <w:ilvl w:val="0"/>
                <w:numId w:val="1"/>
              </w:numPr>
              <w:autoSpaceDE w:val="0"/>
              <w:autoSpaceDN w:val="0"/>
              <w:spacing w:line="252" w:lineRule="auto"/>
              <w:ind w:left="38" w:firstLine="281"/>
              <w:contextualSpacing/>
              <w:rPr>
                <w:rFonts w:eastAsia="Times New Roman"/>
                <w:szCs w:val="24"/>
                <w:lang w:eastAsia="lv-LV"/>
              </w:rPr>
            </w:pPr>
            <w:r w:rsidRPr="008951BD">
              <w:rPr>
                <w:rFonts w:eastAsia="Calibri"/>
                <w:szCs w:val="24"/>
                <w:lang w:val="en-US" w:eastAsia="lv-LV"/>
              </w:rPr>
              <w:t>pieslēgties un nolasīt telemetrijas rādījumus no LDZ esošā risinājuma (</w:t>
            </w:r>
            <w:r w:rsidRPr="008951BD">
              <w:rPr>
                <w:rFonts w:eastAsia="Calibri"/>
                <w:i/>
                <w:iCs/>
                <w:szCs w:val="24"/>
                <w:lang w:val="en-US" w:eastAsia="lv-LV"/>
              </w:rPr>
              <w:t>TrackPro</w:t>
            </w:r>
            <w:r w:rsidRPr="008951BD">
              <w:rPr>
                <w:rFonts w:eastAsia="Calibri"/>
                <w:szCs w:val="24"/>
                <w:lang w:val="en-US" w:eastAsia="lv-LV"/>
              </w:rPr>
              <w:t xml:space="preserve"> programmatūra) MS SQL servera Datu bāzes.</w:t>
            </w:r>
          </w:p>
        </w:tc>
      </w:tr>
    </w:tbl>
    <w:p w14:paraId="31AFE4A8" w14:textId="02453C15" w:rsidR="0098236C" w:rsidRPr="00C20434" w:rsidRDefault="0098236C" w:rsidP="00221889">
      <w:pPr>
        <w:rPr>
          <w:rFonts w:ascii="Arial" w:hAnsi="Arial" w:cs="Arial"/>
        </w:rPr>
      </w:pPr>
    </w:p>
    <w:sectPr w:rsidR="0098236C" w:rsidRPr="00C20434" w:rsidSect="00221889">
      <w:pgSz w:w="11906" w:h="16838"/>
      <w:pgMar w:top="56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9A93" w14:textId="77777777" w:rsidR="003B51CD" w:rsidRDefault="003B51CD" w:rsidP="00221889">
      <w:r>
        <w:separator/>
      </w:r>
    </w:p>
  </w:endnote>
  <w:endnote w:type="continuationSeparator" w:id="0">
    <w:p w14:paraId="6F2DB381" w14:textId="77777777" w:rsidR="003B51CD" w:rsidRDefault="003B51CD" w:rsidP="0022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14F8" w14:textId="77777777" w:rsidR="003B51CD" w:rsidRDefault="003B51CD" w:rsidP="00221889">
      <w:r>
        <w:separator/>
      </w:r>
    </w:p>
  </w:footnote>
  <w:footnote w:type="continuationSeparator" w:id="0">
    <w:p w14:paraId="017E70B8" w14:textId="77777777" w:rsidR="003B51CD" w:rsidRDefault="003B51CD" w:rsidP="0022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E91"/>
    <w:multiLevelType w:val="hybridMultilevel"/>
    <w:tmpl w:val="14FEC820"/>
    <w:lvl w:ilvl="0" w:tplc="5DFC1F8E">
      <w:start w:val="1"/>
      <w:numFmt w:val="decimal"/>
      <w:lvlText w:val="%1)"/>
      <w:lvlJc w:val="left"/>
      <w:pPr>
        <w:ind w:left="1352" w:hanging="360"/>
      </w:pPr>
      <w:rPr>
        <w:b/>
      </w:rPr>
    </w:lvl>
    <w:lvl w:ilvl="1" w:tplc="04260019">
      <w:start w:val="1"/>
      <w:numFmt w:val="lowerLetter"/>
      <w:lvlText w:val="%2."/>
      <w:lvlJc w:val="left"/>
      <w:pPr>
        <w:ind w:left="2072" w:hanging="360"/>
      </w:pPr>
    </w:lvl>
    <w:lvl w:ilvl="2" w:tplc="0426001B">
      <w:start w:val="1"/>
      <w:numFmt w:val="lowerRoman"/>
      <w:lvlText w:val="%3."/>
      <w:lvlJc w:val="right"/>
      <w:pPr>
        <w:ind w:left="2792" w:hanging="180"/>
      </w:pPr>
    </w:lvl>
    <w:lvl w:ilvl="3" w:tplc="0426000F">
      <w:start w:val="1"/>
      <w:numFmt w:val="decimal"/>
      <w:lvlText w:val="%4."/>
      <w:lvlJc w:val="left"/>
      <w:pPr>
        <w:ind w:left="3512" w:hanging="360"/>
      </w:pPr>
    </w:lvl>
    <w:lvl w:ilvl="4" w:tplc="04260019">
      <w:start w:val="1"/>
      <w:numFmt w:val="lowerLetter"/>
      <w:lvlText w:val="%5."/>
      <w:lvlJc w:val="left"/>
      <w:pPr>
        <w:ind w:left="4232" w:hanging="360"/>
      </w:pPr>
    </w:lvl>
    <w:lvl w:ilvl="5" w:tplc="0426001B">
      <w:start w:val="1"/>
      <w:numFmt w:val="lowerRoman"/>
      <w:lvlText w:val="%6."/>
      <w:lvlJc w:val="right"/>
      <w:pPr>
        <w:ind w:left="4952" w:hanging="180"/>
      </w:pPr>
    </w:lvl>
    <w:lvl w:ilvl="6" w:tplc="0426000F">
      <w:start w:val="1"/>
      <w:numFmt w:val="decimal"/>
      <w:lvlText w:val="%7."/>
      <w:lvlJc w:val="left"/>
      <w:pPr>
        <w:ind w:left="5672" w:hanging="360"/>
      </w:pPr>
    </w:lvl>
    <w:lvl w:ilvl="7" w:tplc="04260019">
      <w:start w:val="1"/>
      <w:numFmt w:val="lowerLetter"/>
      <w:lvlText w:val="%8."/>
      <w:lvlJc w:val="left"/>
      <w:pPr>
        <w:ind w:left="6392" w:hanging="360"/>
      </w:pPr>
    </w:lvl>
    <w:lvl w:ilvl="8" w:tplc="0426001B">
      <w:start w:val="1"/>
      <w:numFmt w:val="lowerRoman"/>
      <w:lvlText w:val="%9."/>
      <w:lvlJc w:val="right"/>
      <w:pPr>
        <w:ind w:left="7112" w:hanging="180"/>
      </w:pPr>
    </w:lvl>
  </w:abstractNum>
  <w:abstractNum w:abstractNumId="1" w15:restartNumberingAfterBreak="0">
    <w:nsid w:val="09FE7ADC"/>
    <w:multiLevelType w:val="hybridMultilevel"/>
    <w:tmpl w:val="74A6780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E7270C9"/>
    <w:multiLevelType w:val="hybridMultilevel"/>
    <w:tmpl w:val="62F485B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C13A39"/>
    <w:multiLevelType w:val="hybridMultilevel"/>
    <w:tmpl w:val="30B041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14"/>
    <w:rsid w:val="001D4014"/>
    <w:rsid w:val="00221889"/>
    <w:rsid w:val="002407AF"/>
    <w:rsid w:val="003204EA"/>
    <w:rsid w:val="0034585A"/>
    <w:rsid w:val="003B51CD"/>
    <w:rsid w:val="008951BD"/>
    <w:rsid w:val="0098236C"/>
    <w:rsid w:val="00C20434"/>
    <w:rsid w:val="00D21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52B44"/>
  <w15:chartTrackingRefBased/>
  <w15:docId w15:val="{F1535D3A-9A26-4FCC-AB4C-03A52DC8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014"/>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89"/>
    <w:pPr>
      <w:tabs>
        <w:tab w:val="center" w:pos="4153"/>
        <w:tab w:val="right" w:pos="8306"/>
      </w:tabs>
    </w:pPr>
  </w:style>
  <w:style w:type="character" w:customStyle="1" w:styleId="HeaderChar">
    <w:name w:val="Header Char"/>
    <w:basedOn w:val="DefaultParagraphFont"/>
    <w:link w:val="Header"/>
    <w:uiPriority w:val="99"/>
    <w:rsid w:val="00221889"/>
    <w:rPr>
      <w:rFonts w:ascii="Times New Roman" w:hAnsi="Times New Roman" w:cs="Times New Roman"/>
      <w:sz w:val="24"/>
    </w:rPr>
  </w:style>
  <w:style w:type="paragraph" w:styleId="Footer">
    <w:name w:val="footer"/>
    <w:basedOn w:val="Normal"/>
    <w:link w:val="FooterChar"/>
    <w:uiPriority w:val="99"/>
    <w:unhideWhenUsed/>
    <w:rsid w:val="00221889"/>
    <w:pPr>
      <w:tabs>
        <w:tab w:val="center" w:pos="4153"/>
        <w:tab w:val="right" w:pos="8306"/>
      </w:tabs>
    </w:pPr>
  </w:style>
  <w:style w:type="character" w:customStyle="1" w:styleId="FooterChar">
    <w:name w:val="Footer Char"/>
    <w:basedOn w:val="DefaultParagraphFont"/>
    <w:link w:val="Footer"/>
    <w:uiPriority w:val="99"/>
    <w:rsid w:val="0022188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ltonika-gps.com/product/fmb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5115</Words>
  <Characters>2917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5</cp:revision>
  <dcterms:created xsi:type="dcterms:W3CDTF">2020-07-09T13:01:00Z</dcterms:created>
  <dcterms:modified xsi:type="dcterms:W3CDTF">2020-07-10T09:28:00Z</dcterms:modified>
</cp:coreProperties>
</file>