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49" w:rsidRPr="00AB3184" w:rsidRDefault="001A4D49" w:rsidP="001A4D49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bookmarkStart w:id="0" w:name="_GoBack"/>
      <w:bookmarkEnd w:id="0"/>
      <w:r w:rsidRPr="00AB3184">
        <w:rPr>
          <w:rFonts w:eastAsia="Calibri"/>
          <w:i/>
          <w:szCs w:val="24"/>
          <w:lang w:eastAsia="lv-LV"/>
        </w:rPr>
        <w:t>APSTIPRINĀTS:</w:t>
      </w:r>
    </w:p>
    <w:p w:rsidR="001A4D49" w:rsidRPr="008951BD" w:rsidRDefault="001A4D49" w:rsidP="001A4D49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25</w:t>
      </w:r>
      <w:r w:rsidRPr="00AB3184">
        <w:rPr>
          <w:rFonts w:eastAsia="Arial Unicode MS"/>
          <w:i/>
          <w:szCs w:val="24"/>
          <w:lang w:eastAsia="lv-LV"/>
        </w:rPr>
        <w:t>.janvāra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:rsidR="001A4D49" w:rsidRDefault="001A4D49" w:rsidP="001A4D49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11</w:t>
      </w:r>
    </w:p>
    <w:p w:rsidR="0098236C" w:rsidRDefault="0098236C">
      <w:pPr>
        <w:rPr>
          <w:rFonts w:ascii="Arial" w:hAnsi="Arial" w:cs="Arial"/>
        </w:rPr>
      </w:pPr>
    </w:p>
    <w:p w:rsidR="001A4D49" w:rsidRDefault="001A4D49">
      <w:pPr>
        <w:rPr>
          <w:rFonts w:ascii="Arial" w:hAnsi="Arial" w:cs="Arial"/>
        </w:rPr>
      </w:pPr>
    </w:p>
    <w:p w:rsidR="001A4D49" w:rsidRPr="004338A6" w:rsidRDefault="001A4D49" w:rsidP="001A4D49">
      <w:pPr>
        <w:jc w:val="center"/>
        <w:rPr>
          <w:b/>
        </w:rPr>
      </w:pPr>
      <w:bookmarkStart w:id="1" w:name="_Hlk62034407"/>
      <w:r w:rsidRPr="004338A6">
        <w:rPr>
          <w:b/>
        </w:rPr>
        <w:t>VAS </w:t>
      </w:r>
      <w:r w:rsidRPr="004338A6">
        <w:rPr>
          <w:b/>
          <w:color w:val="222222"/>
        </w:rPr>
        <w:t>„</w:t>
      </w:r>
      <w:r w:rsidRPr="004338A6">
        <w:rPr>
          <w:b/>
        </w:rPr>
        <w:t xml:space="preserve">Latvijas dzelzceļš” </w:t>
      </w:r>
    </w:p>
    <w:p w:rsidR="001A4D49" w:rsidRPr="004338A6" w:rsidRDefault="001A4D49" w:rsidP="001A4D49">
      <w:pPr>
        <w:ind w:left="142" w:right="-1"/>
        <w:jc w:val="center"/>
        <w:rPr>
          <w:b/>
        </w:rPr>
      </w:pPr>
      <w:r w:rsidRPr="004338A6">
        <w:rPr>
          <w:b/>
        </w:rPr>
        <w:t>sarunu procedūras ar publikāciju</w:t>
      </w:r>
    </w:p>
    <w:p w:rsidR="001A4D49" w:rsidRPr="004338A6" w:rsidRDefault="001A4D49" w:rsidP="001A4D49">
      <w:pPr>
        <w:jc w:val="center"/>
        <w:rPr>
          <w:b/>
          <w:bCs/>
        </w:rPr>
      </w:pPr>
      <w:r w:rsidRPr="004338A6">
        <w:rPr>
          <w:b/>
          <w:bCs/>
          <w:color w:val="222222"/>
        </w:rPr>
        <w:t>„</w:t>
      </w:r>
      <w:r w:rsidRPr="004338A6">
        <w:rPr>
          <w:b/>
          <w:bCs/>
        </w:rPr>
        <w:t xml:space="preserve">Informatīvā zvanu centra pakalpojuma nodrošināšana jautājumos par pasažieru vilcienu kustību un VAS </w:t>
      </w:r>
      <w:r w:rsidRPr="004338A6">
        <w:rPr>
          <w:b/>
          <w:bCs/>
          <w:color w:val="222222"/>
        </w:rPr>
        <w:t>„</w:t>
      </w:r>
      <w:r w:rsidRPr="004338A6">
        <w:rPr>
          <w:b/>
          <w:bCs/>
        </w:rPr>
        <w:t>Latvijas dzelzceļš” sniegtajiem pakalpojumiem ”</w:t>
      </w:r>
    </w:p>
    <w:p w:rsidR="001A4D49" w:rsidRPr="004338A6" w:rsidRDefault="001A4D49" w:rsidP="001A4D49">
      <w:pPr>
        <w:jc w:val="center"/>
        <w:rPr>
          <w:rFonts w:eastAsia="Calibri"/>
        </w:rPr>
      </w:pPr>
      <w:r w:rsidRPr="004338A6">
        <w:rPr>
          <w:rFonts w:eastAsia="Calibri"/>
        </w:rPr>
        <w:t>(turpmāk – sarunu procedūra)</w:t>
      </w:r>
    </w:p>
    <w:p w:rsidR="001A4D49" w:rsidRPr="004338A6" w:rsidRDefault="001A4D49" w:rsidP="001A4D49">
      <w:pPr>
        <w:ind w:left="284" w:right="282"/>
        <w:rPr>
          <w:rFonts w:eastAsia="Calibri"/>
        </w:rPr>
      </w:pPr>
    </w:p>
    <w:p w:rsidR="001A4D49" w:rsidRPr="004338A6" w:rsidRDefault="001A4D49" w:rsidP="001A4D49">
      <w:pPr>
        <w:ind w:left="284" w:right="282"/>
        <w:jc w:val="center"/>
        <w:rPr>
          <w:rFonts w:eastAsia="Calibri"/>
          <w:b/>
        </w:rPr>
      </w:pPr>
      <w:r w:rsidRPr="004338A6">
        <w:rPr>
          <w:rFonts w:eastAsia="Calibri"/>
          <w:b/>
        </w:rPr>
        <w:t>Skaidrojums Nr.</w:t>
      </w:r>
      <w:r>
        <w:rPr>
          <w:rFonts w:eastAsia="Calibri"/>
          <w:b/>
        </w:rPr>
        <w:t>3</w:t>
      </w:r>
    </w:p>
    <w:p w:rsidR="001A4D49" w:rsidRPr="004338A6" w:rsidRDefault="001A4D49" w:rsidP="001A4D49">
      <w:pPr>
        <w:ind w:right="282"/>
        <w:rPr>
          <w:rFonts w:eastAsia="Calibri"/>
          <w:b/>
          <w:highlight w:val="yellow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80"/>
        <w:gridCol w:w="5566"/>
      </w:tblGrid>
      <w:tr w:rsidR="001A4D49" w:rsidRPr="004338A6" w:rsidTr="001A4D49">
        <w:trPr>
          <w:trHeight w:val="677"/>
        </w:trPr>
        <w:tc>
          <w:tcPr>
            <w:tcW w:w="603" w:type="dxa"/>
            <w:shd w:val="clear" w:color="auto" w:fill="FFF2CC"/>
            <w:vAlign w:val="center"/>
          </w:tcPr>
          <w:p w:rsidR="001A4D49" w:rsidRPr="00F6260E" w:rsidRDefault="001A4D49" w:rsidP="00B95800">
            <w:pPr>
              <w:jc w:val="center"/>
              <w:rPr>
                <w:rFonts w:eastAsia="Calibri"/>
                <w:b/>
              </w:rPr>
            </w:pPr>
            <w:r w:rsidRPr="00F6260E">
              <w:rPr>
                <w:rFonts w:eastAsia="Calibri"/>
                <w:b/>
              </w:rPr>
              <w:t>Nr.</w:t>
            </w:r>
          </w:p>
          <w:p w:rsidR="001A4D49" w:rsidRPr="00F6260E" w:rsidRDefault="001A4D49" w:rsidP="00B95800">
            <w:pPr>
              <w:jc w:val="center"/>
              <w:rPr>
                <w:rFonts w:eastAsia="Calibri"/>
                <w:b/>
              </w:rPr>
            </w:pPr>
            <w:r w:rsidRPr="00F6260E">
              <w:rPr>
                <w:rFonts w:eastAsia="Calibri"/>
                <w:b/>
              </w:rPr>
              <w:t>p.k.</w:t>
            </w:r>
          </w:p>
        </w:tc>
        <w:tc>
          <w:tcPr>
            <w:tcW w:w="4359" w:type="dxa"/>
            <w:shd w:val="clear" w:color="auto" w:fill="FFF2CC"/>
            <w:vAlign w:val="center"/>
          </w:tcPr>
          <w:p w:rsidR="001A4D49" w:rsidRPr="00F6260E" w:rsidRDefault="001A4D49" w:rsidP="00B95800">
            <w:pPr>
              <w:jc w:val="center"/>
              <w:rPr>
                <w:rFonts w:eastAsia="Calibri"/>
                <w:b/>
                <w:i/>
              </w:rPr>
            </w:pPr>
            <w:r w:rsidRPr="00F6260E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5387" w:type="dxa"/>
            <w:shd w:val="clear" w:color="auto" w:fill="FFF2CC"/>
            <w:vAlign w:val="center"/>
          </w:tcPr>
          <w:p w:rsidR="001A4D49" w:rsidRPr="00F6260E" w:rsidRDefault="001A4D49" w:rsidP="00B95800">
            <w:pPr>
              <w:jc w:val="center"/>
              <w:rPr>
                <w:rFonts w:eastAsia="Calibri"/>
                <w:b/>
                <w:i/>
              </w:rPr>
            </w:pPr>
            <w:r w:rsidRPr="00F6260E">
              <w:rPr>
                <w:rFonts w:eastAsia="Calibri"/>
                <w:b/>
                <w:i/>
              </w:rPr>
              <w:t>Atbilde</w:t>
            </w:r>
          </w:p>
        </w:tc>
      </w:tr>
      <w:tr w:rsidR="001A4D49" w:rsidRPr="004338A6" w:rsidTr="001A4D49">
        <w:trPr>
          <w:trHeight w:val="729"/>
        </w:trPr>
        <w:tc>
          <w:tcPr>
            <w:tcW w:w="603" w:type="dxa"/>
            <w:shd w:val="clear" w:color="auto" w:fill="auto"/>
          </w:tcPr>
          <w:p w:rsidR="001A4D49" w:rsidRPr="00F6260E" w:rsidRDefault="001A4D49" w:rsidP="00B95800">
            <w:pPr>
              <w:jc w:val="center"/>
              <w:rPr>
                <w:rFonts w:eastAsia="Calibri"/>
              </w:rPr>
            </w:pPr>
            <w:r w:rsidRPr="00F6260E">
              <w:rPr>
                <w:rFonts w:eastAsia="Calibri"/>
              </w:rPr>
              <w:t>1.</w:t>
            </w:r>
          </w:p>
        </w:tc>
        <w:tc>
          <w:tcPr>
            <w:tcW w:w="4359" w:type="dxa"/>
            <w:shd w:val="clear" w:color="auto" w:fill="auto"/>
          </w:tcPr>
          <w:p w:rsidR="001A4D49" w:rsidRPr="003F161D" w:rsidRDefault="001A4D49" w:rsidP="00B95800">
            <w:r w:rsidRPr="003F161D">
              <w:t>Vai iesējams arī norādīt pakalpojuma minimālo maksu balstoties uz plānoto zvanu skaitu?</w:t>
            </w:r>
          </w:p>
        </w:tc>
        <w:tc>
          <w:tcPr>
            <w:tcW w:w="5387" w:type="dxa"/>
            <w:shd w:val="clear" w:color="auto" w:fill="auto"/>
          </w:tcPr>
          <w:p w:rsidR="001A4D49" w:rsidRPr="003F161D" w:rsidRDefault="001A4D49" w:rsidP="00B95800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3F161D">
              <w:rPr>
                <w:sz w:val="24"/>
                <w:szCs w:val="24"/>
              </w:rPr>
              <w:t>Skaidrojam, ka pretendentam jāiesniedz finanšu piedāvājums saskaņā ar sarunu procedūras nolikuma 2.pielikumā noteikto formu.</w:t>
            </w:r>
          </w:p>
        </w:tc>
      </w:tr>
      <w:tr w:rsidR="001A4D49" w:rsidRPr="004338A6" w:rsidTr="001A4D49">
        <w:trPr>
          <w:trHeight w:val="947"/>
        </w:trPr>
        <w:tc>
          <w:tcPr>
            <w:tcW w:w="603" w:type="dxa"/>
            <w:shd w:val="clear" w:color="auto" w:fill="auto"/>
          </w:tcPr>
          <w:p w:rsidR="001A4D49" w:rsidRPr="00F6260E" w:rsidRDefault="001A4D49" w:rsidP="00B95800">
            <w:pPr>
              <w:jc w:val="center"/>
              <w:rPr>
                <w:rFonts w:eastAsia="Calibri"/>
              </w:rPr>
            </w:pPr>
            <w:r w:rsidRPr="00F6260E">
              <w:rPr>
                <w:rFonts w:eastAsia="Calibri"/>
              </w:rPr>
              <w:t>2.</w:t>
            </w:r>
          </w:p>
        </w:tc>
        <w:tc>
          <w:tcPr>
            <w:tcW w:w="4359" w:type="dxa"/>
            <w:shd w:val="clear" w:color="auto" w:fill="auto"/>
          </w:tcPr>
          <w:p w:rsidR="001A4D49" w:rsidRPr="00F6260E" w:rsidRDefault="001A4D49" w:rsidP="00B95800">
            <w:r w:rsidRPr="00F6260E">
              <w:t>Vai iespējams piedāvājumā norādīt maksu par papildus apmācībām klientu apkalpošanas vajadzībām līguma darbības laikā?</w:t>
            </w:r>
          </w:p>
        </w:tc>
        <w:tc>
          <w:tcPr>
            <w:tcW w:w="5387" w:type="dxa"/>
            <w:shd w:val="clear" w:color="auto" w:fill="auto"/>
          </w:tcPr>
          <w:p w:rsidR="001A4D49" w:rsidRPr="0084641A" w:rsidRDefault="001A4D49" w:rsidP="00B95800">
            <w:pPr>
              <w:rPr>
                <w:highlight w:val="yellow"/>
              </w:rPr>
            </w:pPr>
            <w:r w:rsidRPr="0084641A">
              <w:t xml:space="preserve">Jā, lūdzam norādīt ar </w:t>
            </w:r>
            <w:r w:rsidRPr="0084641A">
              <w:rPr>
                <w:shd w:val="clear" w:color="auto" w:fill="FFFFFF"/>
              </w:rPr>
              <w:t xml:space="preserve">darbinieku apmācībām </w:t>
            </w:r>
            <w:r w:rsidRPr="0084641A">
              <w:t xml:space="preserve">saistīto izmaksu pozīciju sarunu procedūras nolikuma 2.pielikuma noteiktās formas sadaļā </w:t>
            </w:r>
            <w:r w:rsidRPr="0084641A">
              <w:rPr>
                <w:b/>
              </w:rPr>
              <w:t> </w:t>
            </w:r>
            <w:r w:rsidRPr="003B1224">
              <w:rPr>
                <w:bCs/>
                <w:i/>
                <w:iCs/>
                <w:color w:val="222222"/>
              </w:rPr>
              <w:t>„</w:t>
            </w:r>
            <w:r w:rsidRPr="0084641A">
              <w:rPr>
                <w:i/>
                <w:iCs/>
              </w:rPr>
              <w:t>Pakalpojuma ieviešanas izmaksas (vienreizējas)”</w:t>
            </w:r>
            <w:r>
              <w:rPr>
                <w:i/>
                <w:iCs/>
              </w:rPr>
              <w:t>.</w:t>
            </w:r>
          </w:p>
        </w:tc>
      </w:tr>
      <w:tr w:rsidR="001A4D49" w:rsidRPr="004338A6" w:rsidTr="001A4D49">
        <w:trPr>
          <w:trHeight w:val="50"/>
        </w:trPr>
        <w:tc>
          <w:tcPr>
            <w:tcW w:w="603" w:type="dxa"/>
            <w:shd w:val="clear" w:color="auto" w:fill="auto"/>
          </w:tcPr>
          <w:p w:rsidR="001A4D49" w:rsidRPr="00F6260E" w:rsidRDefault="001A4D49" w:rsidP="00B95800">
            <w:pPr>
              <w:jc w:val="center"/>
              <w:rPr>
                <w:rFonts w:eastAsia="Calibri"/>
              </w:rPr>
            </w:pPr>
            <w:r w:rsidRPr="00F6260E">
              <w:rPr>
                <w:rFonts w:eastAsia="Calibri"/>
              </w:rPr>
              <w:t>3.</w:t>
            </w:r>
          </w:p>
        </w:tc>
        <w:tc>
          <w:tcPr>
            <w:tcW w:w="4359" w:type="dxa"/>
            <w:shd w:val="clear" w:color="auto" w:fill="auto"/>
          </w:tcPr>
          <w:p w:rsidR="001A4D49" w:rsidRPr="00F6260E" w:rsidRDefault="001A4D49" w:rsidP="00B95800">
            <w:pPr>
              <w:pStyle w:val="p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2.8.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2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Tiešsaistes režīma pastāvīgas attālinātas piekļuves nodrošināšana Pasūtītāja pilnvarotajām personām pie Uzņēmēja reģistrētajiem zvanu apstrādes statistikas datiem, kas tiks izmantota pakalpojuma kvalitātes noteikšanai </w:t>
            </w:r>
            <w:r w:rsidRPr="00F626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uzņēmējs nodrošina operatīvu atbalstu telekomunikāciju sistēmu problēmu vai bojājumu gadījumos</w:t>
            </w:r>
            <w:r w:rsidRPr="00F62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A4D49" w:rsidRPr="00A9472F" w:rsidRDefault="001A4D49" w:rsidP="00B95800">
            <w:pPr>
              <w:pStyle w:val="p2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E">
              <w:rPr>
                <w:rFonts w:ascii="Times New Roman" w:hAnsi="Times New Roman" w:cs="Times New Roman"/>
                <w:sz w:val="24"/>
                <w:szCs w:val="24"/>
              </w:rPr>
              <w:t>Vai varat precizēt, kas domāts ar šo punktu? Kā attālinātas piekļuves ir saistītas ar atbalstu bojājumu novēršanā?</w:t>
            </w:r>
          </w:p>
        </w:tc>
        <w:tc>
          <w:tcPr>
            <w:tcW w:w="5387" w:type="dxa"/>
            <w:shd w:val="clear" w:color="auto" w:fill="auto"/>
          </w:tcPr>
          <w:p w:rsidR="001A4D49" w:rsidRDefault="001A4D49" w:rsidP="00B95800">
            <w:pPr>
              <w:contextualSpacing/>
            </w:pPr>
            <w:r w:rsidRPr="0012769C">
              <w:t xml:space="preserve">Skaidrojam, ka ir pieļauta drukas kļūda un minētā prasība, ka </w:t>
            </w:r>
            <w:r w:rsidRPr="0012769C">
              <w:rPr>
                <w:b/>
                <w:bCs/>
                <w:i/>
                <w:iCs/>
              </w:rPr>
              <w:t xml:space="preserve">uzņēmējs nodrošina operatīvu atbalstu telekomunikāciju sistēmu problēmu vai bojājumu gadījumos </w:t>
            </w:r>
            <w:r w:rsidRPr="0012769C">
              <w:t>ir jānodala kā atsevišķs punkts.</w:t>
            </w:r>
          </w:p>
          <w:p w:rsidR="001A4D49" w:rsidRDefault="001A4D49" w:rsidP="00B95800">
            <w:pPr>
              <w:contextualSpacing/>
              <w:rPr>
                <w:highlight w:val="yellow"/>
              </w:rPr>
            </w:pPr>
          </w:p>
          <w:p w:rsidR="001A4D49" w:rsidRDefault="001A4D49" w:rsidP="00B95800">
            <w:pPr>
              <w:contextualSpacing/>
              <w:rPr>
                <w:highlight w:val="yellow"/>
              </w:rPr>
            </w:pPr>
          </w:p>
          <w:p w:rsidR="001A4D49" w:rsidRDefault="001A4D49" w:rsidP="00B95800">
            <w:pPr>
              <w:contextualSpacing/>
              <w:rPr>
                <w:highlight w:val="yellow"/>
              </w:rPr>
            </w:pPr>
          </w:p>
          <w:p w:rsidR="001A4D49" w:rsidRDefault="001A4D49" w:rsidP="00B95800">
            <w:pPr>
              <w:contextualSpacing/>
              <w:rPr>
                <w:highlight w:val="yellow"/>
              </w:rPr>
            </w:pPr>
          </w:p>
          <w:p w:rsidR="001A4D49" w:rsidRDefault="001A4D49" w:rsidP="00B95800">
            <w:pPr>
              <w:contextualSpacing/>
              <w:rPr>
                <w:highlight w:val="yellow"/>
              </w:rPr>
            </w:pPr>
          </w:p>
          <w:p w:rsidR="001A4D49" w:rsidRDefault="001A4D49" w:rsidP="00B95800">
            <w:pPr>
              <w:contextualSpacing/>
              <w:rPr>
                <w:highlight w:val="yellow"/>
              </w:rPr>
            </w:pPr>
          </w:p>
          <w:p w:rsidR="001A4D49" w:rsidRPr="0012769C" w:rsidRDefault="001A4D49" w:rsidP="00B95800">
            <w:pPr>
              <w:contextualSpacing/>
              <w:rPr>
                <w:highlight w:val="yellow"/>
              </w:rPr>
            </w:pPr>
          </w:p>
        </w:tc>
      </w:tr>
      <w:tr w:rsidR="001A4D49" w:rsidRPr="004338A6" w:rsidTr="001A4D49">
        <w:trPr>
          <w:trHeight w:val="50"/>
        </w:trPr>
        <w:tc>
          <w:tcPr>
            <w:tcW w:w="603" w:type="dxa"/>
            <w:shd w:val="clear" w:color="auto" w:fill="auto"/>
          </w:tcPr>
          <w:p w:rsidR="001A4D49" w:rsidRPr="00F6260E" w:rsidRDefault="001A4D49" w:rsidP="00B95800">
            <w:pPr>
              <w:jc w:val="center"/>
              <w:rPr>
                <w:rFonts w:eastAsia="Calibri"/>
              </w:rPr>
            </w:pPr>
            <w:r w:rsidRPr="00551DC7">
              <w:rPr>
                <w:rFonts w:eastAsia="Calibri"/>
              </w:rPr>
              <w:t>4.</w:t>
            </w:r>
          </w:p>
        </w:tc>
        <w:tc>
          <w:tcPr>
            <w:tcW w:w="4359" w:type="dxa"/>
            <w:shd w:val="clear" w:color="auto" w:fill="auto"/>
          </w:tcPr>
          <w:p w:rsidR="001A4D49" w:rsidRPr="00551DC7" w:rsidRDefault="001A4D49" w:rsidP="00B95800">
            <w:pPr>
              <w:pStyle w:val="p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Uzņēmējs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nodrošina LDZ </w:t>
            </w:r>
            <w:proofErr w:type="spellStart"/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online</w:t>
            </w:r>
            <w:proofErr w:type="spellEnd"/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piekļuvi sarunu audio ierakstiem, lai Pasūtītājs, izmantojot savu pastāvīgo </w:t>
            </w:r>
            <w:proofErr w:type="spellStart"/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online</w:t>
            </w:r>
            <w:proofErr w:type="spellEnd"/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pieeju, tos var </w:t>
            </w:r>
            <w:proofErr w:type="spellStart"/>
            <w:r w:rsidRPr="00551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lejuplādēt</w:t>
            </w:r>
            <w:proofErr w:type="spellEnd"/>
            <w:r w:rsidRPr="0055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un noklausīties sākot ar 30.minūti kopš sarunas noslēgšanās brīža (vismaz diviem lietotājiem atsevišķas pieejas). </w:t>
            </w:r>
          </w:p>
          <w:p w:rsidR="001A4D49" w:rsidRPr="007C6464" w:rsidRDefault="001A4D49" w:rsidP="00B95800">
            <w:pPr>
              <w:pStyle w:val="p2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7">
              <w:rPr>
                <w:rFonts w:ascii="Times New Roman" w:hAnsi="Times New Roman" w:cs="Times New Roman"/>
                <w:sz w:val="24"/>
                <w:szCs w:val="24"/>
              </w:rPr>
              <w:t>Vai pietiek ar to, ka ir iespēja sarunu noklausīties nevis lejuplādēt? Mums šādas iespējas nav saistībā ar GDPR prasībām.</w:t>
            </w:r>
          </w:p>
        </w:tc>
        <w:tc>
          <w:tcPr>
            <w:tcW w:w="5387" w:type="dxa"/>
            <w:shd w:val="clear" w:color="auto" w:fill="auto"/>
          </w:tcPr>
          <w:p w:rsidR="001A4D49" w:rsidRPr="007F159E" w:rsidRDefault="001A4D49" w:rsidP="00B95800">
            <w:pPr>
              <w:rPr>
                <w:color w:val="FF0000"/>
              </w:rPr>
            </w:pPr>
            <w:r w:rsidRPr="005077AA">
              <w:t>Skaidrojam, ka minētā prasība – lejuplādēt sarunas var būt daļēji izpildāma (nav obligāta).</w:t>
            </w:r>
          </w:p>
        </w:tc>
      </w:tr>
      <w:tr w:rsidR="001A4D49" w:rsidRPr="004338A6" w:rsidTr="001A4D49">
        <w:trPr>
          <w:trHeight w:val="792"/>
        </w:trPr>
        <w:tc>
          <w:tcPr>
            <w:tcW w:w="603" w:type="dxa"/>
            <w:shd w:val="clear" w:color="auto" w:fill="auto"/>
          </w:tcPr>
          <w:p w:rsidR="001A4D49" w:rsidRPr="00551DC7" w:rsidRDefault="001A4D49" w:rsidP="00B95800">
            <w:pPr>
              <w:jc w:val="center"/>
              <w:rPr>
                <w:rFonts w:eastAsia="Calibri"/>
              </w:rPr>
            </w:pPr>
            <w:r w:rsidRPr="00551DC7">
              <w:rPr>
                <w:rFonts w:eastAsia="Calibri"/>
              </w:rPr>
              <w:lastRenderedPageBreak/>
              <w:t>5.</w:t>
            </w:r>
          </w:p>
        </w:tc>
        <w:tc>
          <w:tcPr>
            <w:tcW w:w="4359" w:type="dxa"/>
            <w:shd w:val="clear" w:color="auto" w:fill="auto"/>
          </w:tcPr>
          <w:p w:rsidR="001A4D49" w:rsidRDefault="001A4D49" w:rsidP="00B95800">
            <w:pPr>
              <w:tabs>
                <w:tab w:val="left" w:pos="414"/>
              </w:tabs>
              <w:contextualSpacing/>
              <w:rPr>
                <w:i/>
                <w:iCs/>
              </w:rPr>
            </w:pPr>
            <w:r w:rsidRPr="00551DC7">
              <w:rPr>
                <w:i/>
                <w:iCs/>
              </w:rPr>
              <w:t xml:space="preserve">5.4. Uzņēmējam  jābūt interfeisam (aplikācijai), kur operators redz ienākošā zvana tēmu, klienta izvēlēto valodu un citus raksturlielumus, spējot </w:t>
            </w:r>
            <w:proofErr w:type="spellStart"/>
            <w:r w:rsidRPr="00551DC7">
              <w:rPr>
                <w:i/>
                <w:iCs/>
              </w:rPr>
              <w:t>prioritizēt</w:t>
            </w:r>
            <w:proofErr w:type="spellEnd"/>
            <w:r w:rsidRPr="00551DC7">
              <w:rPr>
                <w:i/>
                <w:iCs/>
              </w:rPr>
              <w:t xml:space="preserve"> zvanus atbilstoši Pasūtītāja instrukcijai. </w:t>
            </w:r>
          </w:p>
          <w:p w:rsidR="001A4D49" w:rsidRPr="00DE30A2" w:rsidRDefault="001A4D49" w:rsidP="00B95800">
            <w:pPr>
              <w:tabs>
                <w:tab w:val="left" w:pos="414"/>
              </w:tabs>
              <w:contextualSpacing/>
              <w:rPr>
                <w:i/>
                <w:iCs/>
              </w:rPr>
            </w:pPr>
            <w:r>
              <w:t>K</w:t>
            </w:r>
            <w:r w:rsidRPr="00DE30A2">
              <w:t>āda ir instrukcija un, kāds šim mērķis?</w:t>
            </w:r>
            <w:r w:rsidRPr="00551DC7">
              <w:rPr>
                <w:i/>
                <w:iCs/>
              </w:rPr>
              <w:t xml:space="preserve"> </w:t>
            </w:r>
            <w:r w:rsidRPr="00551DC7">
              <w:t xml:space="preserve">Vai pareizi saprotu, ka tas ir nepieciešams, lai zvanus varētu korekti sadalīt pa līnijām? Vai ir iespēja </w:t>
            </w:r>
            <w:proofErr w:type="spellStart"/>
            <w:r w:rsidRPr="00551DC7">
              <w:t>strādādāt</w:t>
            </w:r>
            <w:proofErr w:type="spellEnd"/>
            <w:r w:rsidRPr="00551DC7">
              <w:t xml:space="preserve"> novirzot zvanus attiecīgajām operatoru grupām bez tā, ka </w:t>
            </w:r>
            <w:proofErr w:type="spellStart"/>
            <w:r w:rsidRPr="00551DC7">
              <w:t>opertors</w:t>
            </w:r>
            <w:proofErr w:type="spellEnd"/>
            <w:r w:rsidRPr="00551DC7">
              <w:t xml:space="preserve"> redz IVR izvēlnes nosacījumus?</w:t>
            </w:r>
          </w:p>
        </w:tc>
        <w:tc>
          <w:tcPr>
            <w:tcW w:w="5387" w:type="dxa"/>
            <w:shd w:val="clear" w:color="auto" w:fill="auto"/>
          </w:tcPr>
          <w:p w:rsidR="001A4D49" w:rsidRPr="007C30C3" w:rsidRDefault="001A4D49" w:rsidP="00B95800">
            <w:pPr>
              <w:rPr>
                <w:b/>
              </w:rPr>
            </w:pPr>
            <w:r w:rsidRPr="007C30C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93C01" wp14:editId="3E0FB8D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2423160</wp:posOffset>
                  </wp:positionV>
                  <wp:extent cx="3397250" cy="156781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30C3">
              <w:rPr>
                <w:noProof/>
              </w:rPr>
              <w:t>Skaidrojam, ka minētā prasība ir nepieciešama</w:t>
            </w:r>
            <w:r w:rsidRPr="007C30C3">
              <w:t xml:space="preserve">, lai korekti sadalītu zvanus pa līnijām un, lai operatoram tiktu atspoguļota ienākošā zvana tēma. Zvanu algoritmi un visas </w:t>
            </w:r>
            <w:r w:rsidRPr="00FA30BD">
              <w:t xml:space="preserve">tehniskās nianses tiek risināti sadarbībā ar </w:t>
            </w:r>
            <w:r w:rsidRPr="00FA30BD">
              <w:rPr>
                <w:bCs/>
              </w:rPr>
              <w:t>VAS </w:t>
            </w:r>
            <w:r w:rsidRPr="00FA30BD">
              <w:rPr>
                <w:bCs/>
                <w:color w:val="222222"/>
              </w:rPr>
              <w:t>„</w:t>
            </w:r>
            <w:r w:rsidRPr="00FA30BD">
              <w:rPr>
                <w:bCs/>
              </w:rPr>
              <w:t xml:space="preserve">Latvijas dzelzceļš” </w:t>
            </w:r>
            <w:r w:rsidRPr="00FA30BD">
              <w:t>speciālistiem. Lai novirzītu zvanus attiecīgajām operatoru grupām bez tā, ka operators redz IVR izvēlnes nosacījumus, ārpakalpojuma sniedzējam jāveic tehniska konfigurācija sadarbībā ar pasūtīju. Norādām, ka tik līdz klients izvēlas sarunas valodu,</w:t>
            </w:r>
            <w:r>
              <w:t xml:space="preserve"> tad tēmu - </w:t>
            </w:r>
            <w:r w:rsidRPr="00FA30BD">
              <w:t>zvans tiek nodots konkrētam piegādātājam. Respektīvi, pasūtītājam ir būtiski, lai operators redzētu – izvēlēto valodu un zvana tēmu</w:t>
            </w:r>
            <w:r>
              <w:t xml:space="preserve"> (sk. arī zemāk norādīto shēmu)</w:t>
            </w:r>
            <w:r w:rsidRPr="00FA30BD">
              <w:t xml:space="preserve">. </w:t>
            </w:r>
          </w:p>
          <w:p w:rsidR="001A4D49" w:rsidRPr="004338A6" w:rsidRDefault="001A4D49" w:rsidP="00B95800">
            <w:pPr>
              <w:rPr>
                <w:highlight w:val="yellow"/>
              </w:rPr>
            </w:pPr>
          </w:p>
        </w:tc>
      </w:tr>
      <w:tr w:rsidR="001A4D49" w:rsidRPr="004338A6" w:rsidTr="001A4D49">
        <w:trPr>
          <w:trHeight w:val="792"/>
        </w:trPr>
        <w:tc>
          <w:tcPr>
            <w:tcW w:w="603" w:type="dxa"/>
            <w:shd w:val="clear" w:color="auto" w:fill="auto"/>
          </w:tcPr>
          <w:p w:rsidR="001A4D49" w:rsidRPr="004B7274" w:rsidRDefault="001A4D49" w:rsidP="00B95800">
            <w:pPr>
              <w:jc w:val="center"/>
              <w:rPr>
                <w:rFonts w:eastAsia="Calibri"/>
              </w:rPr>
            </w:pPr>
            <w:r w:rsidRPr="004B7274">
              <w:rPr>
                <w:rFonts w:eastAsia="Calibri"/>
              </w:rPr>
              <w:t>6.</w:t>
            </w:r>
          </w:p>
        </w:tc>
        <w:tc>
          <w:tcPr>
            <w:tcW w:w="4359" w:type="dxa"/>
            <w:shd w:val="clear" w:color="auto" w:fill="auto"/>
          </w:tcPr>
          <w:p w:rsidR="001A4D49" w:rsidRPr="00593394" w:rsidRDefault="001A4D49" w:rsidP="00B95800">
            <w:pPr>
              <w:pStyle w:val="p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3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5.7. Piekļuve atskaitēm jānodrošina, izmantojot ērtu </w:t>
            </w:r>
            <w:proofErr w:type="spellStart"/>
            <w:r w:rsidRPr="00593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web</w:t>
            </w:r>
            <w:proofErr w:type="spellEnd"/>
            <w:r w:rsidRPr="00593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interfeisu. </w:t>
            </w:r>
          </w:p>
          <w:p w:rsidR="001A4D49" w:rsidRPr="00593394" w:rsidRDefault="001A4D49" w:rsidP="00B95800">
            <w:pPr>
              <w:pStyle w:val="p2"/>
              <w:rPr>
                <w:rFonts w:ascii="Times New Roman" w:hAnsi="Times New Roman" w:cs="Times New Roman"/>
                <w:sz w:val="24"/>
                <w:szCs w:val="24"/>
              </w:rPr>
            </w:pPr>
            <w:r w:rsidRPr="00593394">
              <w:rPr>
                <w:rFonts w:ascii="Times New Roman" w:hAnsi="Times New Roman" w:cs="Times New Roman"/>
                <w:sz w:val="24"/>
                <w:szCs w:val="24"/>
              </w:rPr>
              <w:t>Iepriekš minējāt, ka atskaites var sūtīt e-pastā ģenerētas no sistēmas. Vai tas paliek arī šoreiz spēkā?</w:t>
            </w:r>
          </w:p>
        </w:tc>
        <w:tc>
          <w:tcPr>
            <w:tcW w:w="5387" w:type="dxa"/>
            <w:shd w:val="clear" w:color="auto" w:fill="auto"/>
          </w:tcPr>
          <w:p w:rsidR="001A4D49" w:rsidRPr="00593394" w:rsidRDefault="001A4D49" w:rsidP="00B95800">
            <w:r w:rsidRPr="00593394">
              <w:t xml:space="preserve">Skaidrojam, ka ir pieņemami, ja pieprasītas atskaites tiks sūtītas </w:t>
            </w:r>
            <w:r>
              <w:t xml:space="preserve">arī </w:t>
            </w:r>
            <w:r w:rsidRPr="00593394">
              <w:t xml:space="preserve">uz e-pastu. </w:t>
            </w:r>
          </w:p>
          <w:p w:rsidR="001A4D49" w:rsidRPr="00593394" w:rsidRDefault="001A4D49" w:rsidP="00B95800">
            <w:pPr>
              <w:contextualSpacing/>
              <w:rPr>
                <w:highlight w:val="yellow"/>
              </w:rPr>
            </w:pPr>
          </w:p>
        </w:tc>
      </w:tr>
      <w:bookmarkEnd w:id="1"/>
    </w:tbl>
    <w:p w:rsidR="001A4D49" w:rsidRPr="004338A6" w:rsidRDefault="001A4D49" w:rsidP="001A4D49">
      <w:pPr>
        <w:rPr>
          <w:b/>
          <w:i/>
          <w:highlight w:val="yellow"/>
        </w:rPr>
      </w:pPr>
    </w:p>
    <w:p w:rsidR="001A4D49" w:rsidRPr="00C20434" w:rsidRDefault="001A4D49">
      <w:pPr>
        <w:rPr>
          <w:rFonts w:ascii="Arial" w:hAnsi="Arial" w:cs="Arial"/>
        </w:rPr>
      </w:pPr>
    </w:p>
    <w:sectPr w:rsidR="001A4D49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49"/>
    <w:rsid w:val="001A4D49"/>
    <w:rsid w:val="0020005F"/>
    <w:rsid w:val="003204E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E466-13C2-4A9A-AB5D-82FB2861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4D4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"/>
    <w:basedOn w:val="Parasts"/>
    <w:link w:val="SarakstarindkopaRakstz"/>
    <w:uiPriority w:val="34"/>
    <w:qFormat/>
    <w:rsid w:val="001A4D49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1A4D49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p2">
    <w:name w:val="p2"/>
    <w:basedOn w:val="Parasts"/>
    <w:rsid w:val="001A4D49"/>
    <w:rPr>
      <w:rFonts w:ascii="Helvetica Neue" w:hAnsi="Helvetica Neue" w:cs="Calibri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6F0AA.4BE4F1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2163</Words>
  <Characters>1233</Characters>
  <Application>Microsoft Office Word</Application>
  <DocSecurity>0</DocSecurity>
  <Lines>10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2021-01-25T11:54:00Z</dcterms:created>
  <dcterms:modified xsi:type="dcterms:W3CDTF">2021-01-25T11:54:00Z</dcterms:modified>
</cp:coreProperties>
</file>