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04FD" w14:textId="77777777" w:rsidR="00607A05" w:rsidRPr="00AB3184" w:rsidRDefault="00607A05" w:rsidP="00607A05">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72421667" w14:textId="7A3E5980" w:rsidR="00607A05" w:rsidRPr="008951BD" w:rsidRDefault="00607A05" w:rsidP="00607A05">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29.aprīļa</w:t>
      </w:r>
      <w:r w:rsidRPr="008951BD">
        <w:rPr>
          <w:rFonts w:eastAsia="Arial Unicode MS"/>
          <w:i/>
          <w:szCs w:val="24"/>
          <w:lang w:eastAsia="lv-LV"/>
        </w:rPr>
        <w:t xml:space="preserve"> </w:t>
      </w:r>
    </w:p>
    <w:p w14:paraId="6C626BF8" w14:textId="2286EDE8" w:rsidR="00607A05" w:rsidRDefault="00607A05" w:rsidP="00607A05">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4</w:t>
      </w:r>
    </w:p>
    <w:p w14:paraId="16D5015B" w14:textId="51EAEC8D" w:rsidR="00607A05" w:rsidRDefault="00607A05" w:rsidP="00607A05">
      <w:pPr>
        <w:ind w:right="-908"/>
        <w:rPr>
          <w:rFonts w:ascii="Arial" w:hAnsi="Arial" w:cs="Arial"/>
        </w:rPr>
      </w:pPr>
    </w:p>
    <w:p w14:paraId="3C81B9C2" w14:textId="57C02DD4" w:rsidR="00607A05" w:rsidRDefault="00607A05" w:rsidP="00607A05">
      <w:pPr>
        <w:rPr>
          <w:rFonts w:ascii="Arial" w:hAnsi="Arial" w:cs="Arial"/>
        </w:rPr>
      </w:pPr>
    </w:p>
    <w:p w14:paraId="74A59636" w14:textId="77777777" w:rsidR="00607A05" w:rsidRPr="00DD030B" w:rsidRDefault="00607A05" w:rsidP="00607A05">
      <w:pPr>
        <w:jc w:val="center"/>
        <w:rPr>
          <w:b/>
        </w:rPr>
      </w:pPr>
      <w:bookmarkStart w:id="0" w:name="_Hlk101795106"/>
      <w:r w:rsidRPr="00DD030B">
        <w:rPr>
          <w:b/>
        </w:rPr>
        <w:t>VAS </w:t>
      </w:r>
      <w:r w:rsidRPr="00DD030B">
        <w:rPr>
          <w:b/>
          <w:color w:val="222222"/>
        </w:rPr>
        <w:t>„</w:t>
      </w:r>
      <w:r w:rsidRPr="00DD030B">
        <w:rPr>
          <w:b/>
        </w:rPr>
        <w:t xml:space="preserve">Latvijas dzelzceļš” </w:t>
      </w:r>
    </w:p>
    <w:p w14:paraId="0F807C0D" w14:textId="77777777" w:rsidR="00607A05" w:rsidRPr="00DD030B" w:rsidRDefault="00607A05" w:rsidP="00607A05">
      <w:pPr>
        <w:ind w:left="142" w:right="-1"/>
        <w:jc w:val="center"/>
        <w:rPr>
          <w:b/>
        </w:rPr>
      </w:pPr>
      <w:r w:rsidRPr="00DD030B">
        <w:rPr>
          <w:b/>
        </w:rPr>
        <w:t>sarunu procedūras ar publikāciju</w:t>
      </w:r>
    </w:p>
    <w:p w14:paraId="4F23AE74" w14:textId="77777777" w:rsidR="00607A05" w:rsidRPr="00DD030B" w:rsidRDefault="00607A05" w:rsidP="00607A05">
      <w:pPr>
        <w:jc w:val="center"/>
        <w:rPr>
          <w:b/>
          <w:bCs/>
          <w:color w:val="222222"/>
          <w:szCs w:val="24"/>
        </w:rPr>
      </w:pPr>
      <w:r w:rsidRPr="00DD030B">
        <w:rPr>
          <w:b/>
          <w:bCs/>
          <w:color w:val="222222"/>
          <w:szCs w:val="24"/>
        </w:rPr>
        <w:t>„Signalizācijas, centralizācijas un bloķēšanas</w:t>
      </w:r>
    </w:p>
    <w:p w14:paraId="26E866AB" w14:textId="77777777" w:rsidR="00607A05" w:rsidRDefault="00607A05" w:rsidP="00607A05">
      <w:pPr>
        <w:jc w:val="center"/>
        <w:rPr>
          <w:rFonts w:eastAsia="Calibri"/>
          <w:b/>
          <w:bCs/>
        </w:rPr>
      </w:pPr>
      <w:r w:rsidRPr="00DD030B">
        <w:rPr>
          <w:b/>
          <w:bCs/>
          <w:color w:val="222222"/>
          <w:szCs w:val="24"/>
        </w:rPr>
        <w:t xml:space="preserve"> ierīču </w:t>
      </w:r>
      <w:r w:rsidRPr="00DD030B">
        <w:rPr>
          <w:b/>
          <w:bCs/>
          <w:szCs w:val="24"/>
        </w:rPr>
        <w:t>un to rezerves daļu piegāde</w:t>
      </w:r>
      <w:r w:rsidRPr="00DD030B">
        <w:rPr>
          <w:b/>
          <w:bCs/>
          <w:color w:val="222222"/>
          <w:szCs w:val="24"/>
        </w:rPr>
        <w:t>”</w:t>
      </w:r>
      <w:r w:rsidRPr="00DD030B">
        <w:rPr>
          <w:rFonts w:eastAsia="Calibri"/>
          <w:b/>
          <w:bCs/>
        </w:rPr>
        <w:t xml:space="preserve"> </w:t>
      </w:r>
    </w:p>
    <w:p w14:paraId="3CB76F62" w14:textId="77777777" w:rsidR="00607A05" w:rsidRPr="000805E2" w:rsidRDefault="00607A05" w:rsidP="00607A05">
      <w:pPr>
        <w:jc w:val="center"/>
        <w:rPr>
          <w:rFonts w:eastAsia="Calibri"/>
        </w:rPr>
      </w:pPr>
      <w:r w:rsidRPr="00B00433">
        <w:rPr>
          <w:rFonts w:eastAsia="Calibri"/>
        </w:rPr>
        <w:t>(turpmāk – sarunu procedūra)</w:t>
      </w:r>
    </w:p>
    <w:p w14:paraId="6438E475" w14:textId="77777777" w:rsidR="00607A05" w:rsidRPr="00DD030B" w:rsidRDefault="00607A05" w:rsidP="00607A05">
      <w:pPr>
        <w:ind w:left="284" w:right="282"/>
        <w:rPr>
          <w:rFonts w:eastAsia="Calibri"/>
        </w:rPr>
      </w:pPr>
    </w:p>
    <w:p w14:paraId="75A13EE2" w14:textId="77777777" w:rsidR="00607A05" w:rsidRPr="00DD030B" w:rsidRDefault="00607A05" w:rsidP="00607A05">
      <w:pPr>
        <w:ind w:left="284" w:right="282"/>
        <w:jc w:val="center"/>
        <w:rPr>
          <w:rFonts w:eastAsia="Calibri"/>
          <w:b/>
        </w:rPr>
      </w:pPr>
      <w:r w:rsidRPr="00DD030B">
        <w:rPr>
          <w:rFonts w:eastAsia="Calibri"/>
          <w:b/>
        </w:rPr>
        <w:t>Skaidrojums Nr.</w:t>
      </w:r>
      <w:r>
        <w:rPr>
          <w:rFonts w:eastAsia="Calibri"/>
          <w:b/>
        </w:rPr>
        <w:t>3</w:t>
      </w:r>
    </w:p>
    <w:p w14:paraId="45F650E6" w14:textId="77777777" w:rsidR="00607A05" w:rsidRPr="007E7C3B" w:rsidRDefault="00607A05" w:rsidP="00607A05">
      <w:pPr>
        <w:ind w:left="284" w:right="282"/>
        <w:jc w:val="center"/>
        <w:rPr>
          <w:rFonts w:eastAsia="Calibri"/>
          <w:b/>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4819"/>
      </w:tblGrid>
      <w:tr w:rsidR="00607A05" w:rsidRPr="007E7C3B" w14:paraId="4FB14851" w14:textId="77777777" w:rsidTr="00607A05">
        <w:trPr>
          <w:trHeight w:val="655"/>
        </w:trPr>
        <w:tc>
          <w:tcPr>
            <w:tcW w:w="709" w:type="dxa"/>
            <w:shd w:val="clear" w:color="auto" w:fill="FFF2CC"/>
            <w:vAlign w:val="center"/>
          </w:tcPr>
          <w:p w14:paraId="158A5782" w14:textId="77777777" w:rsidR="00607A05" w:rsidRPr="00DD030B" w:rsidRDefault="00607A05" w:rsidP="008B1A51">
            <w:pPr>
              <w:jc w:val="center"/>
              <w:rPr>
                <w:rFonts w:eastAsia="Calibri"/>
                <w:b/>
              </w:rPr>
            </w:pPr>
            <w:r w:rsidRPr="00DD030B">
              <w:rPr>
                <w:rFonts w:eastAsia="Calibri"/>
                <w:b/>
              </w:rPr>
              <w:t>Nr.</w:t>
            </w:r>
          </w:p>
          <w:p w14:paraId="774BC26E" w14:textId="77777777" w:rsidR="00607A05" w:rsidRPr="00DD030B" w:rsidRDefault="00607A05" w:rsidP="008B1A51">
            <w:pPr>
              <w:jc w:val="center"/>
              <w:rPr>
                <w:rFonts w:eastAsia="Calibri"/>
                <w:b/>
              </w:rPr>
            </w:pPr>
            <w:r w:rsidRPr="00DD030B">
              <w:rPr>
                <w:rFonts w:eastAsia="Calibri"/>
                <w:b/>
              </w:rPr>
              <w:t>p.k.</w:t>
            </w:r>
          </w:p>
        </w:tc>
        <w:tc>
          <w:tcPr>
            <w:tcW w:w="4395" w:type="dxa"/>
            <w:shd w:val="clear" w:color="auto" w:fill="FFF2CC"/>
            <w:vAlign w:val="center"/>
          </w:tcPr>
          <w:p w14:paraId="306EFC9C" w14:textId="77777777" w:rsidR="00607A05" w:rsidRPr="00DD030B" w:rsidRDefault="00607A05" w:rsidP="008B1A51">
            <w:pPr>
              <w:jc w:val="center"/>
              <w:rPr>
                <w:rFonts w:eastAsia="Calibri"/>
                <w:b/>
                <w:i/>
              </w:rPr>
            </w:pPr>
            <w:r w:rsidRPr="00DD030B">
              <w:rPr>
                <w:rFonts w:eastAsia="Calibri"/>
                <w:b/>
                <w:i/>
              </w:rPr>
              <w:t>Jautājums</w:t>
            </w:r>
          </w:p>
        </w:tc>
        <w:tc>
          <w:tcPr>
            <w:tcW w:w="4819" w:type="dxa"/>
            <w:shd w:val="clear" w:color="auto" w:fill="FFF2CC"/>
            <w:vAlign w:val="center"/>
          </w:tcPr>
          <w:p w14:paraId="2CDDAFE2" w14:textId="77777777" w:rsidR="00607A05" w:rsidRPr="00DD030B" w:rsidRDefault="00607A05" w:rsidP="008B1A51">
            <w:pPr>
              <w:jc w:val="center"/>
              <w:rPr>
                <w:rFonts w:eastAsia="Calibri"/>
                <w:b/>
                <w:i/>
              </w:rPr>
            </w:pPr>
            <w:r w:rsidRPr="00DD030B">
              <w:rPr>
                <w:rFonts w:eastAsia="Calibri"/>
                <w:b/>
                <w:i/>
              </w:rPr>
              <w:t>Atbilde</w:t>
            </w:r>
          </w:p>
        </w:tc>
      </w:tr>
      <w:tr w:rsidR="00607A05" w:rsidRPr="007E7C3B" w14:paraId="2865E460" w14:textId="77777777" w:rsidTr="00607A05">
        <w:trPr>
          <w:trHeight w:val="1551"/>
        </w:trPr>
        <w:tc>
          <w:tcPr>
            <w:tcW w:w="709" w:type="dxa"/>
            <w:shd w:val="clear" w:color="auto" w:fill="auto"/>
          </w:tcPr>
          <w:p w14:paraId="5F3035BF" w14:textId="77777777" w:rsidR="00607A05" w:rsidRPr="00DD030B" w:rsidRDefault="00607A05" w:rsidP="008B1A51">
            <w:pPr>
              <w:jc w:val="center"/>
              <w:rPr>
                <w:rFonts w:eastAsia="Calibri"/>
              </w:rPr>
            </w:pPr>
            <w:r w:rsidRPr="00DD030B">
              <w:rPr>
                <w:rFonts w:eastAsia="Calibri"/>
              </w:rPr>
              <w:t>1.</w:t>
            </w:r>
          </w:p>
        </w:tc>
        <w:tc>
          <w:tcPr>
            <w:tcW w:w="4395" w:type="dxa"/>
            <w:shd w:val="clear" w:color="auto" w:fill="auto"/>
          </w:tcPr>
          <w:p w14:paraId="578AD6EC" w14:textId="77777777" w:rsidR="00607A05" w:rsidRPr="00671CA5" w:rsidRDefault="00607A05" w:rsidP="008B1A51">
            <w:r w:rsidRPr="00671CA5">
              <w:t>Lēmums par sankciju piemērošanu un raksturu nav atkarīgs ne no pircēja, ne no pārdevēja. Piedāvā lietotnē Nolikuma Nr.5</w:t>
            </w:r>
            <w:r w:rsidRPr="00671CA5">
              <w:br/>
              <w:t>(Līguma projekts) 9.2.1. papildināt un izdevumā norādīt: pilnā apmērā – ja  Līgums tiek izbeigts saskaņā ar Līguma 8.2.punktu</w:t>
            </w:r>
            <w:r w:rsidRPr="00671CA5">
              <w:br/>
              <w:t>(izņemot 8.2.6.punktu) (neatkarīgi no zaudējumu</w:t>
            </w:r>
            <w:r>
              <w:t xml:space="preserve"> </w:t>
            </w:r>
            <w:r w:rsidRPr="00671CA5">
              <w:t>esamības).</w:t>
            </w:r>
            <w:r w:rsidRPr="00671CA5">
              <w:br/>
            </w:r>
          </w:p>
          <w:p w14:paraId="04640337" w14:textId="77777777" w:rsidR="00607A05" w:rsidRPr="000D5DF7" w:rsidRDefault="00607A05" w:rsidP="008B1A51">
            <w:pPr>
              <w:contextualSpacing/>
              <w:rPr>
                <w:i/>
                <w:iCs/>
                <w:szCs w:val="24"/>
              </w:rPr>
            </w:pPr>
          </w:p>
        </w:tc>
        <w:tc>
          <w:tcPr>
            <w:tcW w:w="4819" w:type="dxa"/>
            <w:shd w:val="clear" w:color="auto" w:fill="auto"/>
          </w:tcPr>
          <w:p w14:paraId="0BDC028A" w14:textId="77777777" w:rsidR="00607A05" w:rsidRPr="001F45AD" w:rsidRDefault="00607A05" w:rsidP="008B1A51">
            <w:pPr>
              <w:pStyle w:val="Sarakstarindkopa"/>
              <w:tabs>
                <w:tab w:val="left" w:pos="567"/>
              </w:tabs>
              <w:ind w:left="0"/>
              <w:jc w:val="both"/>
              <w:rPr>
                <w:sz w:val="24"/>
                <w:szCs w:val="24"/>
              </w:rPr>
            </w:pPr>
            <w:r w:rsidRPr="001F45AD">
              <w:rPr>
                <w:sz w:val="24"/>
                <w:szCs w:val="24"/>
              </w:rPr>
              <w:t xml:space="preserve">Skaidrojam, ka sarunu procedūras nolikuma 5.pielikuma </w:t>
            </w:r>
            <w:r w:rsidRPr="001F45AD">
              <w:rPr>
                <w:color w:val="222222"/>
                <w:sz w:val="24"/>
                <w:szCs w:val="24"/>
              </w:rPr>
              <w:t>„Līguma projekts” 9.sadaļā noteiktais</w:t>
            </w:r>
            <w:r>
              <w:rPr>
                <w:color w:val="222222"/>
                <w:sz w:val="24"/>
                <w:szCs w:val="24"/>
              </w:rPr>
              <w:t xml:space="preserve"> </w:t>
            </w:r>
            <w:r w:rsidRPr="001F45AD">
              <w:rPr>
                <w:sz w:val="24"/>
                <w:szCs w:val="24"/>
              </w:rPr>
              <w:t xml:space="preserve">līguma nodrošinājums ir paredzēts, lai segtu pasūtītāja prasījumus (zaudējumu, procentu, līgumsodu) pret piegādātāju, kas rodas gan līguma izpildes laikā, gan pirmstermiņa līguma izbeigšanas gadījumos. Pamatā līguma nodrošinājums kalpo gadījumiem, kad līgums tiek izbeigts pirms termiņa un pasūtītājam saistībā ar līguma izbeigšanu un neizpildītām vai nepienācīgi izpildītām saistībām rodas zaudējumi. Sarunu procedūras nolikumā pasūtītājs ir norādījis nosacījumus un gadījumus, kad līguma nodrošinājums tiek ieturēts, t.sk., gadījumā, ja līgumu nav iespējams izpildīt tādēļ, ka ir piemērotas starptautiskās vai nacionālās sankcijas vai būtiskas finanšu un kapitāla tirgus intereses ietekmējošas Eiropas Savienības vai Ziemeļatlantijas līguma organizācijas dalībvalsts noteiktās sankcijas. Līguma 5.pielikuma </w:t>
            </w:r>
            <w:r w:rsidRPr="001F45AD">
              <w:rPr>
                <w:color w:val="222222"/>
                <w:sz w:val="24"/>
                <w:szCs w:val="24"/>
              </w:rPr>
              <w:t xml:space="preserve">„Līguma projekts” </w:t>
            </w:r>
            <w:r w:rsidRPr="001F45AD">
              <w:rPr>
                <w:sz w:val="24"/>
                <w:szCs w:val="24"/>
              </w:rPr>
              <w:t>8.2.punktā noteikt</w:t>
            </w:r>
            <w:r>
              <w:rPr>
                <w:sz w:val="24"/>
                <w:szCs w:val="24"/>
              </w:rPr>
              <w:t>ie</w:t>
            </w:r>
            <w:r w:rsidRPr="001F45AD">
              <w:rPr>
                <w:sz w:val="24"/>
                <w:szCs w:val="24"/>
              </w:rPr>
              <w:t xml:space="preserve"> līguma izbeigšana</w:t>
            </w:r>
            <w:r>
              <w:rPr>
                <w:sz w:val="24"/>
                <w:szCs w:val="24"/>
              </w:rPr>
              <w:t>s gadījumi</w:t>
            </w:r>
            <w:r w:rsidRPr="001F45AD">
              <w:rPr>
                <w:sz w:val="24"/>
                <w:szCs w:val="24"/>
              </w:rPr>
              <w:t xml:space="preserve"> neierobežo pasūtītāja tiesības uz zaudējumu atlīdzību un līgumsodu.</w:t>
            </w:r>
          </w:p>
          <w:p w14:paraId="125A2C65" w14:textId="77777777" w:rsidR="00607A05" w:rsidRPr="006A2689" w:rsidRDefault="00607A05" w:rsidP="008B1A51">
            <w:pPr>
              <w:pStyle w:val="Sarakstarindkopa"/>
              <w:tabs>
                <w:tab w:val="left" w:pos="567"/>
              </w:tabs>
              <w:ind w:left="0"/>
              <w:jc w:val="both"/>
              <w:rPr>
                <w:sz w:val="24"/>
                <w:szCs w:val="24"/>
                <w:lang w:eastAsia="en-US"/>
              </w:rPr>
            </w:pPr>
            <w:r w:rsidRPr="001F45AD">
              <w:rPr>
                <w:sz w:val="24"/>
                <w:szCs w:val="24"/>
                <w:lang w:eastAsia="en-US"/>
              </w:rPr>
              <w:t>Ievērojot iepriekš minēto, norādām, ka grozījumi sarunu procedūras nolikumā netiek veikti.</w:t>
            </w:r>
          </w:p>
        </w:tc>
      </w:tr>
      <w:tr w:rsidR="00607A05" w:rsidRPr="007E7C3B" w14:paraId="2190E3FB" w14:textId="77777777" w:rsidTr="00607A05">
        <w:trPr>
          <w:trHeight w:val="1125"/>
        </w:trPr>
        <w:tc>
          <w:tcPr>
            <w:tcW w:w="709" w:type="dxa"/>
            <w:shd w:val="clear" w:color="auto" w:fill="auto"/>
          </w:tcPr>
          <w:p w14:paraId="67F70DDD" w14:textId="77777777" w:rsidR="00607A05" w:rsidRPr="00DD030B" w:rsidRDefault="00607A05" w:rsidP="008B1A51">
            <w:pPr>
              <w:jc w:val="center"/>
              <w:rPr>
                <w:rFonts w:eastAsia="Calibri"/>
              </w:rPr>
            </w:pPr>
            <w:r>
              <w:rPr>
                <w:rFonts w:eastAsia="Calibri"/>
              </w:rPr>
              <w:t>2.</w:t>
            </w:r>
          </w:p>
        </w:tc>
        <w:tc>
          <w:tcPr>
            <w:tcW w:w="4395" w:type="dxa"/>
            <w:shd w:val="clear" w:color="auto" w:fill="auto"/>
          </w:tcPr>
          <w:p w14:paraId="0BDBD312" w14:textId="77777777" w:rsidR="00607A05" w:rsidRPr="00837C1E" w:rsidRDefault="00607A05" w:rsidP="008B1A51">
            <w:pPr>
              <w:rPr>
                <w:rFonts w:eastAsia="Times New Roman"/>
                <w:sz w:val="22"/>
                <w:lang w:val="ru-RU"/>
              </w:rPr>
            </w:pPr>
            <w:r w:rsidRPr="00837C1E">
              <w:rPr>
                <w:rFonts w:eastAsia="Times New Roman"/>
                <w:lang w:val="ru-RU"/>
              </w:rPr>
              <w:t>Ввиду того, что некоторые заводы-производители находятся в корпоративном отпуске,</w:t>
            </w:r>
            <w:r w:rsidRPr="00837C1E">
              <w:rPr>
                <w:rFonts w:eastAsia="Times New Roman"/>
                <w:sz w:val="22"/>
                <w:lang w:val="ru-RU"/>
              </w:rPr>
              <w:t xml:space="preserve"> </w:t>
            </w:r>
            <w:r w:rsidRPr="00837C1E">
              <w:rPr>
                <w:rFonts w:eastAsia="Times New Roman"/>
                <w:lang w:val="ru-RU"/>
              </w:rPr>
              <w:t>усложняется получение необходимой документации и информации, для предоставления на тендер.</w:t>
            </w:r>
            <w:r w:rsidRPr="00837C1E">
              <w:rPr>
                <w:rFonts w:eastAsia="Times New Roman"/>
                <w:sz w:val="22"/>
                <w:lang w:val="ru-RU"/>
              </w:rPr>
              <w:t xml:space="preserve"> </w:t>
            </w:r>
            <w:r w:rsidRPr="00837C1E">
              <w:rPr>
                <w:rFonts w:eastAsia="Times New Roman"/>
                <w:lang w:val="ru-RU"/>
              </w:rPr>
              <w:t>Просим продлить срок подачи предложений до 202</w:t>
            </w:r>
            <w:r>
              <w:rPr>
                <w:rFonts w:eastAsia="Times New Roman"/>
              </w:rPr>
              <w:t>2</w:t>
            </w:r>
            <w:r w:rsidRPr="00837C1E">
              <w:rPr>
                <w:rFonts w:eastAsia="Times New Roman"/>
                <w:lang w:val="ru-RU"/>
              </w:rPr>
              <w:t>-05-20.</w:t>
            </w:r>
          </w:p>
          <w:p w14:paraId="0B3D0FB7" w14:textId="77777777" w:rsidR="00607A05" w:rsidRDefault="00607A05" w:rsidP="008B1A51"/>
          <w:p w14:paraId="40909F78" w14:textId="77777777" w:rsidR="00607A05" w:rsidRPr="00837C1E" w:rsidRDefault="00607A05" w:rsidP="008B1A51">
            <w:pPr>
              <w:rPr>
                <w:i/>
                <w:iCs/>
                <w:szCs w:val="24"/>
              </w:rPr>
            </w:pPr>
            <w:r w:rsidRPr="00837C1E">
              <w:rPr>
                <w:i/>
                <w:iCs/>
                <w:color w:val="3C4043"/>
                <w:szCs w:val="24"/>
              </w:rPr>
              <w:lastRenderedPageBreak/>
              <w:t>Sakarā ar to, ka dažas ražotnes - ražotāji atrodas korporatīvajā atvaļinājumā, kļūst grūtāk iegūt iepirkumam nepieciešamo dokumentāciju un informāciju. Lūdzam pagarināt piedāvājumu iesniegšanas termiņu līdz 20.05.2022.</w:t>
            </w:r>
            <w:r w:rsidRPr="00837C1E">
              <w:rPr>
                <w:i/>
                <w:iCs/>
                <w:szCs w:val="24"/>
                <w:vertAlign w:val="superscript"/>
              </w:rPr>
              <w:t>*</w:t>
            </w:r>
          </w:p>
        </w:tc>
        <w:tc>
          <w:tcPr>
            <w:tcW w:w="4819" w:type="dxa"/>
            <w:shd w:val="clear" w:color="auto" w:fill="auto"/>
          </w:tcPr>
          <w:p w14:paraId="07429D15" w14:textId="77777777" w:rsidR="00607A05" w:rsidRPr="001F45AD" w:rsidRDefault="00607A05" w:rsidP="008B1A51">
            <w:pPr>
              <w:pStyle w:val="Sarakstarindkopa"/>
              <w:tabs>
                <w:tab w:val="left" w:pos="567"/>
              </w:tabs>
              <w:ind w:left="0"/>
              <w:jc w:val="both"/>
              <w:rPr>
                <w:sz w:val="24"/>
                <w:szCs w:val="24"/>
              </w:rPr>
            </w:pPr>
            <w:r>
              <w:rPr>
                <w:sz w:val="24"/>
                <w:szCs w:val="24"/>
              </w:rPr>
              <w:lastRenderedPageBreak/>
              <w:t>Lūdzam skatīt sarunu procedūras Grozījumus Nr.1.</w:t>
            </w:r>
          </w:p>
        </w:tc>
      </w:tr>
    </w:tbl>
    <w:bookmarkEnd w:id="0"/>
    <w:p w14:paraId="4E86D43F" w14:textId="77777777" w:rsidR="00607A05" w:rsidRPr="00C20434" w:rsidRDefault="00607A05" w:rsidP="00607A05">
      <w:pPr>
        <w:ind w:left="-709" w:right="-908"/>
        <w:rPr>
          <w:rFonts w:ascii="Arial" w:hAnsi="Arial" w:cs="Arial"/>
        </w:rPr>
      </w:pPr>
      <w:r w:rsidRPr="00DD030B">
        <w:rPr>
          <w:i/>
          <w:iCs/>
          <w:sz w:val="20"/>
          <w:szCs w:val="20"/>
          <w:vertAlign w:val="superscript"/>
        </w:rPr>
        <w:t>*</w:t>
      </w:r>
      <w:r w:rsidRPr="00DD030B">
        <w:rPr>
          <w:rFonts w:eastAsia="Calibri"/>
          <w:i/>
          <w:iCs/>
          <w:sz w:val="20"/>
          <w:szCs w:val="20"/>
        </w:rPr>
        <w:t>N</w:t>
      </w:r>
      <w:r w:rsidRPr="00DD030B">
        <w:rPr>
          <w:i/>
          <w:iCs/>
          <w:sz w:val="20"/>
          <w:szCs w:val="20"/>
        </w:rPr>
        <w:t xml:space="preserve">orādām, ka ieinteresētais piegādātājs iesniedza dokumentu ar jautājumu par sarunu procedūras nolikuma prasībām krievu valodā un bez attiecīga tulkojuma latviešu valodā, neievērojot </w:t>
      </w:r>
      <w:r w:rsidRPr="00DD030B">
        <w:rPr>
          <w:i/>
          <w:iCs/>
          <w:color w:val="333333"/>
          <w:sz w:val="20"/>
          <w:szCs w:val="20"/>
        </w:rPr>
        <w:t xml:space="preserve">sarunu procedūras nolikuma 1.7.3.punkta nosacījumus. Dokumentu </w:t>
      </w:r>
      <w:r w:rsidRPr="00DD030B">
        <w:rPr>
          <w:i/>
          <w:iCs/>
          <w:sz w:val="20"/>
          <w:szCs w:val="20"/>
        </w:rPr>
        <w:t xml:space="preserve">iesniegšana svešvalodā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DD030B">
        <w:rPr>
          <w:b/>
          <w:bCs/>
          <w:i/>
          <w:iCs/>
          <w:sz w:val="20"/>
          <w:szCs w:val="20"/>
          <w:u w:val="single"/>
        </w:rPr>
        <w:t>pasūtītājs neatbild par saņemtā dokumenta tulkojumu pareizību.</w:t>
      </w:r>
    </w:p>
    <w:p w14:paraId="25895A57" w14:textId="77777777" w:rsidR="00607A05" w:rsidRDefault="00607A05" w:rsidP="00607A05">
      <w:pPr>
        <w:rPr>
          <w:rFonts w:ascii="Arial" w:hAnsi="Arial" w:cs="Arial"/>
        </w:rPr>
      </w:pPr>
    </w:p>
    <w:p w14:paraId="215B9333" w14:textId="77777777" w:rsidR="00607A05" w:rsidRDefault="00607A05" w:rsidP="00607A05">
      <w:pPr>
        <w:rPr>
          <w:rFonts w:ascii="Arial" w:hAnsi="Arial" w:cs="Arial"/>
        </w:rPr>
      </w:pPr>
    </w:p>
    <w:p w14:paraId="512ACBF7" w14:textId="77777777" w:rsidR="00607A05" w:rsidRDefault="00607A05" w:rsidP="00607A05">
      <w:pPr>
        <w:rPr>
          <w:rFonts w:ascii="Arial" w:hAnsi="Arial" w:cs="Arial"/>
        </w:rPr>
      </w:pPr>
    </w:p>
    <w:p w14:paraId="71DFA4A9" w14:textId="77777777" w:rsidR="00607A05" w:rsidRDefault="00607A05" w:rsidP="00607A05">
      <w:pPr>
        <w:rPr>
          <w:rFonts w:ascii="Arial" w:hAnsi="Arial" w:cs="Arial"/>
        </w:rPr>
      </w:pPr>
    </w:p>
    <w:p w14:paraId="02AAFC81" w14:textId="77777777" w:rsidR="00607A05" w:rsidRDefault="00607A05" w:rsidP="00607A05">
      <w:pPr>
        <w:rPr>
          <w:rFonts w:ascii="Arial" w:hAnsi="Arial" w:cs="Arial"/>
        </w:rPr>
      </w:pPr>
    </w:p>
    <w:p w14:paraId="6295A739"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05"/>
    <w:rsid w:val="003204EA"/>
    <w:rsid w:val="00607A05"/>
    <w:rsid w:val="0098236C"/>
    <w:rsid w:val="00BA7EE2"/>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3530"/>
  <w15:chartTrackingRefBased/>
  <w15:docId w15:val="{3E6E6556-6492-45B5-B99A-C5828303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7A05"/>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607A05"/>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607A05"/>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1859</Words>
  <Characters>1061</Characters>
  <Application>Microsoft Office Word</Application>
  <DocSecurity>0</DocSecurity>
  <Lines>8</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2022-04-29T10:42:00Z</dcterms:created>
  <dcterms:modified xsi:type="dcterms:W3CDTF">2022-04-29T10:42:00Z</dcterms:modified>
</cp:coreProperties>
</file>