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6D69" w14:textId="77777777" w:rsidR="0083792C" w:rsidRPr="00AB3184" w:rsidRDefault="0083792C" w:rsidP="0083792C">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50B6331B" w14:textId="7B2A6551" w:rsidR="0083792C" w:rsidRPr="008951BD" w:rsidRDefault="0083792C" w:rsidP="0083792C">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20.marta</w:t>
      </w:r>
    </w:p>
    <w:p w14:paraId="78D3641A" w14:textId="0A6FB4F2" w:rsidR="0083792C" w:rsidRDefault="0083792C" w:rsidP="0083792C">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5</w:t>
      </w:r>
    </w:p>
    <w:p w14:paraId="52C8FEEA" w14:textId="06349236" w:rsidR="0098236C" w:rsidRDefault="0098236C">
      <w:pPr>
        <w:rPr>
          <w:rFonts w:ascii="Arial" w:hAnsi="Arial" w:cs="Arial"/>
        </w:rPr>
      </w:pPr>
    </w:p>
    <w:p w14:paraId="29D9CF53" w14:textId="23F3755A" w:rsidR="0083792C" w:rsidRDefault="0083792C">
      <w:pPr>
        <w:rPr>
          <w:rFonts w:ascii="Arial" w:hAnsi="Arial" w:cs="Arial"/>
        </w:rPr>
      </w:pPr>
    </w:p>
    <w:p w14:paraId="4DE9BB23" w14:textId="1ABD0575" w:rsidR="0083792C" w:rsidRDefault="0083792C">
      <w:pPr>
        <w:rPr>
          <w:rFonts w:ascii="Arial" w:hAnsi="Arial" w:cs="Arial"/>
        </w:rPr>
      </w:pPr>
    </w:p>
    <w:p w14:paraId="3C11BC6E" w14:textId="77777777" w:rsidR="0083792C" w:rsidRPr="008B3C58" w:rsidRDefault="0083792C" w:rsidP="0083792C">
      <w:pPr>
        <w:jc w:val="center"/>
        <w:rPr>
          <w:b/>
        </w:rPr>
      </w:pPr>
      <w:r w:rsidRPr="008B3C58">
        <w:rPr>
          <w:b/>
        </w:rPr>
        <w:t>VAS </w:t>
      </w:r>
      <w:r w:rsidRPr="008B3C58">
        <w:rPr>
          <w:b/>
          <w:color w:val="222222"/>
        </w:rPr>
        <w:t>„</w:t>
      </w:r>
      <w:r w:rsidRPr="008B3C58">
        <w:rPr>
          <w:b/>
        </w:rPr>
        <w:t xml:space="preserve">Latvijas dzelzceļš” </w:t>
      </w:r>
    </w:p>
    <w:p w14:paraId="0F768BB3" w14:textId="77777777" w:rsidR="0083792C" w:rsidRPr="008B3C58" w:rsidRDefault="0083792C" w:rsidP="0083792C">
      <w:pPr>
        <w:ind w:left="142" w:right="-1"/>
        <w:jc w:val="center"/>
        <w:rPr>
          <w:b/>
        </w:rPr>
      </w:pPr>
      <w:r w:rsidRPr="008B3C58">
        <w:rPr>
          <w:b/>
        </w:rPr>
        <w:t>sarunu procedūras ar publikāciju</w:t>
      </w:r>
    </w:p>
    <w:p w14:paraId="51DA0D4B" w14:textId="77777777" w:rsidR="0083792C" w:rsidRDefault="0083792C" w:rsidP="0083792C">
      <w:pPr>
        <w:ind w:left="284" w:right="282"/>
        <w:jc w:val="center"/>
        <w:rPr>
          <w:b/>
          <w:bCs/>
          <w:color w:val="212529"/>
          <w:szCs w:val="24"/>
          <w:shd w:val="clear" w:color="auto" w:fill="FFFFFF"/>
        </w:rPr>
      </w:pPr>
      <w:r w:rsidRPr="002B2F73">
        <w:rPr>
          <w:b/>
          <w:bCs/>
          <w:color w:val="222222"/>
          <w:szCs w:val="24"/>
        </w:rPr>
        <w:t>„</w:t>
      </w:r>
      <w:proofErr w:type="spellStart"/>
      <w:r w:rsidRPr="002B2F73">
        <w:rPr>
          <w:b/>
          <w:bCs/>
          <w:color w:val="212529"/>
          <w:szCs w:val="24"/>
          <w:shd w:val="clear" w:color="auto" w:fill="FFFFFF"/>
        </w:rPr>
        <w:t>Pārogres</w:t>
      </w:r>
      <w:proofErr w:type="spellEnd"/>
      <w:r w:rsidRPr="002B2F73">
        <w:rPr>
          <w:b/>
          <w:bCs/>
          <w:color w:val="212529"/>
          <w:szCs w:val="24"/>
          <w:shd w:val="clear" w:color="auto" w:fill="FFFFFF"/>
        </w:rPr>
        <w:t xml:space="preserve"> un Ikšķiles dzelzceļa stacijas ēkas fasādes remonts”</w:t>
      </w:r>
    </w:p>
    <w:p w14:paraId="353CEA16" w14:textId="77777777" w:rsidR="0083792C" w:rsidRDefault="0083792C" w:rsidP="0083792C">
      <w:pPr>
        <w:ind w:left="284" w:right="282"/>
        <w:jc w:val="center"/>
        <w:rPr>
          <w:rFonts w:eastAsia="Calibri"/>
          <w:b/>
        </w:rPr>
      </w:pPr>
    </w:p>
    <w:p w14:paraId="7CED20C9" w14:textId="77777777" w:rsidR="0083792C" w:rsidRPr="00E308A2" w:rsidRDefault="0083792C" w:rsidP="0083792C">
      <w:pPr>
        <w:ind w:left="284" w:right="282"/>
        <w:jc w:val="center"/>
        <w:rPr>
          <w:rFonts w:eastAsia="Calibri"/>
          <w:b/>
        </w:rPr>
      </w:pPr>
      <w:r w:rsidRPr="00681731">
        <w:rPr>
          <w:rFonts w:eastAsia="Calibri"/>
          <w:b/>
        </w:rPr>
        <w:t>Skaidrojums Nr.</w:t>
      </w:r>
      <w:r>
        <w:rPr>
          <w:rFonts w:eastAsia="Calibri"/>
          <w:b/>
        </w:rPr>
        <w:t>3</w:t>
      </w:r>
    </w:p>
    <w:p w14:paraId="300FB435" w14:textId="77777777" w:rsidR="0083792C" w:rsidRPr="00291EAB" w:rsidRDefault="0083792C" w:rsidP="0083792C">
      <w:pPr>
        <w:ind w:left="284" w:right="282"/>
        <w:jc w:val="center"/>
        <w:rPr>
          <w:rFonts w:eastAsia="Calibri"/>
          <w:b/>
          <w:highlight w:val="yellow"/>
        </w:rPr>
      </w:pPr>
    </w:p>
    <w:tbl>
      <w:tblPr>
        <w:tblW w:w="99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28"/>
      </w:tblGrid>
      <w:tr w:rsidR="0083792C" w:rsidRPr="006C6AAF" w14:paraId="4B636D87" w14:textId="77777777" w:rsidTr="0083792C">
        <w:trPr>
          <w:trHeight w:val="638"/>
        </w:trPr>
        <w:tc>
          <w:tcPr>
            <w:tcW w:w="709" w:type="dxa"/>
            <w:shd w:val="clear" w:color="auto" w:fill="FFF2CC"/>
            <w:vAlign w:val="center"/>
          </w:tcPr>
          <w:p w14:paraId="65813263" w14:textId="77777777" w:rsidR="0083792C" w:rsidRPr="006C6AAF" w:rsidRDefault="0083792C" w:rsidP="0053306E">
            <w:pPr>
              <w:jc w:val="center"/>
              <w:rPr>
                <w:rFonts w:eastAsia="Calibri"/>
                <w:b/>
              </w:rPr>
            </w:pPr>
            <w:r w:rsidRPr="006C6AAF">
              <w:rPr>
                <w:rFonts w:eastAsia="Calibri"/>
                <w:b/>
              </w:rPr>
              <w:t>Nr.</w:t>
            </w:r>
          </w:p>
          <w:p w14:paraId="2876F7B4" w14:textId="77777777" w:rsidR="0083792C" w:rsidRPr="006C6AAF" w:rsidRDefault="0083792C" w:rsidP="0053306E">
            <w:pPr>
              <w:jc w:val="center"/>
              <w:rPr>
                <w:rFonts w:eastAsia="Calibri"/>
                <w:b/>
              </w:rPr>
            </w:pPr>
            <w:r w:rsidRPr="006C6AAF">
              <w:rPr>
                <w:rFonts w:eastAsia="Calibri"/>
                <w:b/>
              </w:rPr>
              <w:t>p.k.</w:t>
            </w:r>
          </w:p>
        </w:tc>
        <w:tc>
          <w:tcPr>
            <w:tcW w:w="4536" w:type="dxa"/>
            <w:shd w:val="clear" w:color="auto" w:fill="FFF2CC"/>
            <w:vAlign w:val="center"/>
          </w:tcPr>
          <w:p w14:paraId="770971E7" w14:textId="77777777" w:rsidR="0083792C" w:rsidRPr="006C6AAF" w:rsidRDefault="0083792C" w:rsidP="0053306E">
            <w:pPr>
              <w:jc w:val="center"/>
              <w:rPr>
                <w:rFonts w:eastAsia="Calibri"/>
                <w:b/>
                <w:i/>
              </w:rPr>
            </w:pPr>
            <w:r w:rsidRPr="006C6AAF">
              <w:rPr>
                <w:rFonts w:eastAsia="Calibri"/>
                <w:b/>
                <w:i/>
              </w:rPr>
              <w:t>Jautājums</w:t>
            </w:r>
          </w:p>
        </w:tc>
        <w:tc>
          <w:tcPr>
            <w:tcW w:w="4728" w:type="dxa"/>
            <w:shd w:val="clear" w:color="auto" w:fill="FFF2CC"/>
            <w:vAlign w:val="center"/>
          </w:tcPr>
          <w:p w14:paraId="4063AFFE" w14:textId="77777777" w:rsidR="0083792C" w:rsidRPr="006C6AAF" w:rsidRDefault="0083792C" w:rsidP="0053306E">
            <w:pPr>
              <w:jc w:val="center"/>
              <w:rPr>
                <w:rFonts w:eastAsia="Calibri"/>
                <w:b/>
                <w:i/>
                <w:highlight w:val="yellow"/>
              </w:rPr>
            </w:pPr>
            <w:r w:rsidRPr="006C6AAF">
              <w:rPr>
                <w:rFonts w:eastAsia="Calibri"/>
                <w:b/>
                <w:i/>
              </w:rPr>
              <w:t>Atbilde</w:t>
            </w:r>
          </w:p>
        </w:tc>
      </w:tr>
      <w:tr w:rsidR="0083792C" w:rsidRPr="006C6AAF" w14:paraId="4BF7B850" w14:textId="77777777" w:rsidTr="0083792C">
        <w:trPr>
          <w:trHeight w:val="1076"/>
        </w:trPr>
        <w:tc>
          <w:tcPr>
            <w:tcW w:w="709" w:type="dxa"/>
            <w:shd w:val="clear" w:color="auto" w:fill="auto"/>
          </w:tcPr>
          <w:p w14:paraId="406DAE1B" w14:textId="77777777" w:rsidR="0083792C" w:rsidRPr="004E3B9E" w:rsidRDefault="0083792C" w:rsidP="0053306E">
            <w:pPr>
              <w:jc w:val="center"/>
              <w:rPr>
                <w:rFonts w:eastAsia="Calibri"/>
              </w:rPr>
            </w:pPr>
            <w:r w:rsidRPr="004E3B9E">
              <w:rPr>
                <w:rFonts w:eastAsia="Calibri"/>
              </w:rPr>
              <w:t>1.</w:t>
            </w:r>
          </w:p>
        </w:tc>
        <w:tc>
          <w:tcPr>
            <w:tcW w:w="4536" w:type="dxa"/>
            <w:shd w:val="clear" w:color="auto" w:fill="auto"/>
          </w:tcPr>
          <w:p w14:paraId="4ABD2863" w14:textId="77777777" w:rsidR="0083792C" w:rsidRDefault="0083792C" w:rsidP="0053306E">
            <w:pPr>
              <w:rPr>
                <w:szCs w:val="24"/>
              </w:rPr>
            </w:pPr>
            <w:r w:rsidRPr="002C3685">
              <w:rPr>
                <w:szCs w:val="24"/>
              </w:rPr>
              <w:t>Saskaņā ar Konkursa nolikuma 1.6.punktu, pretendentam kopā ar piedāvājumu ir jāiesniedz piedāvājuma nodrošinājums par piedāvājuma nodrošinājuma summu 1% apmērā no Pretendenta piedāvājuma kopējās summas (EUR bez PVN). Pasūtītājs ir paredzējis, ka piedāvājuma nodrošinājums iesniedzams tikai kā Pretendenta naudas summas iemaksa pasūtītāja bankas kontā, neparedzot iespēju iesniegt analoģisku nodrošinājumu, ko izsniedz Latvijā atzītas apdrošināšanas sabiedrības.</w:t>
            </w:r>
          </w:p>
          <w:p w14:paraId="55C32AFD" w14:textId="77777777" w:rsidR="0083792C" w:rsidRPr="002C3685" w:rsidRDefault="0083792C" w:rsidP="0053306E">
            <w:pPr>
              <w:rPr>
                <w:szCs w:val="24"/>
              </w:rPr>
            </w:pPr>
            <w:r w:rsidRPr="002C3685">
              <w:rPr>
                <w:szCs w:val="24"/>
              </w:rPr>
              <w:t>Ņemot vērā to, ka gan Publisko iepirkumu likums, gan Sabiedrisko pakalpojumu sniedzēju iepirkumu likums paredz iespēju iesniegt piedāvājuma nodrošinājumu kā bankas garantiju, apdrošināšanas polisi vai, ja pasūtītājs šādu iespēju ir paredzējis iepirkuma procedūras dokumentos, kā naudas summas iemaksu pasūtītāja norādītajā kontā, lūdzam Pasūtītāju apstiprināt, ka Pretendents netiks izslēgts no dalības sarunu procedūrā, ja kopā ar piedāvājumu tiks iesniegta apdrošināšanas polise kā beznosacījuma galvojums, paredzot, ka nodrošinājuma devējs izmaksā nodrošinājumā paredzēto summu pēc  pirmā pieprasījuma.</w:t>
            </w:r>
          </w:p>
        </w:tc>
        <w:tc>
          <w:tcPr>
            <w:tcW w:w="4728" w:type="dxa"/>
            <w:shd w:val="clear" w:color="auto" w:fill="auto"/>
          </w:tcPr>
          <w:p w14:paraId="3B5521A0" w14:textId="77777777" w:rsidR="0083792C" w:rsidRPr="0044418D" w:rsidRDefault="0083792C" w:rsidP="0053306E">
            <w:pPr>
              <w:pStyle w:val="Sarakstarindkopa"/>
              <w:tabs>
                <w:tab w:val="left" w:pos="567"/>
              </w:tabs>
              <w:ind w:left="0"/>
              <w:jc w:val="both"/>
              <w:rPr>
                <w:sz w:val="24"/>
                <w:szCs w:val="24"/>
              </w:rPr>
            </w:pPr>
            <w:r w:rsidRPr="005714D3">
              <w:rPr>
                <w:sz w:val="24"/>
                <w:szCs w:val="24"/>
              </w:rPr>
              <w:t xml:space="preserve">Skaidrojam, ka sarunu procedūras ar publikāciju nolikuma 1.6.punktā ietvertā prasība paredz piedāvājuma nodrošinājuma iesniegšanu kā naudas summas iemaksu VAS </w:t>
            </w:r>
            <w:r w:rsidRPr="005714D3">
              <w:rPr>
                <w:color w:val="222222"/>
                <w:sz w:val="24"/>
                <w:szCs w:val="24"/>
              </w:rPr>
              <w:t xml:space="preserve">„Latvijas dzelzceļš” </w:t>
            </w:r>
            <w:r w:rsidRPr="005714D3">
              <w:rPr>
                <w:sz w:val="24"/>
                <w:szCs w:val="24"/>
              </w:rPr>
              <w:t xml:space="preserve">bankas kontā, taču, ja pretendents kopā ar piedāvājumu var iesniegt tādu apdrošināšanas sabiedrības izsniegtu polisi kā </w:t>
            </w:r>
            <w:r w:rsidRPr="005714D3">
              <w:rPr>
                <w:sz w:val="24"/>
                <w:szCs w:val="24"/>
                <w:u w:val="single"/>
              </w:rPr>
              <w:t>beznosacījuma galvojumu</w:t>
            </w:r>
            <w:r w:rsidRPr="005714D3">
              <w:rPr>
                <w:sz w:val="24"/>
                <w:szCs w:val="24"/>
              </w:rPr>
              <w:t xml:space="preserve"> (t.i., paredzot, ka nodrošinājuma devējs izmaksā nodrošinājumā paredzēto summu </w:t>
            </w:r>
            <w:r w:rsidRPr="005714D3">
              <w:rPr>
                <w:sz w:val="24"/>
                <w:szCs w:val="24"/>
                <w:u w:val="single"/>
              </w:rPr>
              <w:t>pēc pirmā pasūtītāja pieprasījuma</w:t>
            </w:r>
            <w:r w:rsidRPr="005714D3">
              <w:rPr>
                <w:sz w:val="24"/>
                <w:szCs w:val="24"/>
              </w:rPr>
              <w:t>), pievienojot arī maksājuma uzdevumu, kas apliecina, ka veikts prēmijas maksājums, tad pretendents netiks izslēgts no dalības sarunu procedūrā ar publikāciju</w:t>
            </w:r>
            <w:r w:rsidRPr="000C0CAE">
              <w:rPr>
                <w:szCs w:val="24"/>
              </w:rPr>
              <w:t>.</w:t>
            </w:r>
          </w:p>
        </w:tc>
      </w:tr>
    </w:tbl>
    <w:p w14:paraId="608727E1" w14:textId="77777777" w:rsidR="0083792C" w:rsidRPr="00C20434" w:rsidRDefault="0083792C">
      <w:pPr>
        <w:rPr>
          <w:rFonts w:ascii="Arial" w:hAnsi="Arial" w:cs="Arial"/>
        </w:rPr>
      </w:pPr>
    </w:p>
    <w:sectPr w:rsidR="0083792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2C"/>
    <w:rsid w:val="003204EA"/>
    <w:rsid w:val="0083792C"/>
    <w:rsid w:val="0098236C"/>
    <w:rsid w:val="00C20434"/>
    <w:rsid w:val="00D01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154"/>
  <w15:chartTrackingRefBased/>
  <w15:docId w15:val="{169A0CC0-B88C-480D-AE0A-51959064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792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3792C"/>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3792C"/>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697</Characters>
  <Application>Microsoft Office Word</Application>
  <DocSecurity>0</DocSecurity>
  <Lines>5</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2023-03-20T14:39:00Z</dcterms:created>
  <dcterms:modified xsi:type="dcterms:W3CDTF">2023-03-20T14:39:00Z</dcterms:modified>
</cp:coreProperties>
</file>