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669A" w14:textId="77777777" w:rsidR="003F4B49" w:rsidRPr="00AB3184" w:rsidRDefault="003F4B49" w:rsidP="003F4B49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7A21CADA" w14:textId="7CB75460" w:rsidR="003F4B49" w:rsidRPr="008951BD" w:rsidRDefault="003F4B49" w:rsidP="003F4B49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13.aprīļa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7D701423" w14:textId="74061D47" w:rsidR="003F4B49" w:rsidRDefault="003F4B49" w:rsidP="003F4B49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5</w:t>
      </w:r>
    </w:p>
    <w:p w14:paraId="7123536E" w14:textId="42C4FC74" w:rsidR="0098236C" w:rsidRDefault="0098236C">
      <w:pPr>
        <w:rPr>
          <w:rFonts w:ascii="Arial" w:hAnsi="Arial" w:cs="Arial"/>
          <w:b/>
          <w:bCs/>
        </w:rPr>
      </w:pPr>
    </w:p>
    <w:p w14:paraId="1A15BB65" w14:textId="4EC2CF95" w:rsidR="003F4B49" w:rsidRDefault="003F4B49">
      <w:pPr>
        <w:rPr>
          <w:rFonts w:ascii="Arial" w:hAnsi="Arial" w:cs="Arial"/>
          <w:b/>
          <w:bCs/>
        </w:rPr>
      </w:pPr>
    </w:p>
    <w:p w14:paraId="22A26252" w14:textId="4AA29970" w:rsidR="003F4B49" w:rsidRDefault="003F4B49">
      <w:pPr>
        <w:rPr>
          <w:rFonts w:ascii="Arial" w:hAnsi="Arial" w:cs="Arial"/>
          <w:b/>
          <w:bCs/>
        </w:rPr>
      </w:pPr>
    </w:p>
    <w:p w14:paraId="26E08418" w14:textId="77777777" w:rsidR="003F4B49" w:rsidRPr="003838DE" w:rsidRDefault="003F4B49" w:rsidP="003F4B49">
      <w:pPr>
        <w:jc w:val="center"/>
        <w:rPr>
          <w:b/>
        </w:rPr>
      </w:pPr>
      <w:bookmarkStart w:id="0" w:name="_Hlk101795106"/>
      <w:r w:rsidRPr="003838DE">
        <w:rPr>
          <w:b/>
        </w:rPr>
        <w:t>VAS </w:t>
      </w:r>
      <w:r w:rsidRPr="003838DE">
        <w:rPr>
          <w:b/>
          <w:color w:val="222222"/>
        </w:rPr>
        <w:t>„</w:t>
      </w:r>
      <w:r w:rsidRPr="003838DE">
        <w:rPr>
          <w:b/>
        </w:rPr>
        <w:t xml:space="preserve">Latvijas dzelzceļš” </w:t>
      </w:r>
    </w:p>
    <w:p w14:paraId="0E3865D0" w14:textId="77777777" w:rsidR="003F4B49" w:rsidRPr="003838DE" w:rsidRDefault="003F4B49" w:rsidP="003F4B49">
      <w:pPr>
        <w:ind w:left="142" w:right="-1"/>
        <w:jc w:val="center"/>
        <w:rPr>
          <w:b/>
        </w:rPr>
      </w:pPr>
      <w:r w:rsidRPr="003838DE">
        <w:rPr>
          <w:b/>
        </w:rPr>
        <w:t>sarunu procedūras ar publikāciju</w:t>
      </w:r>
    </w:p>
    <w:p w14:paraId="24A68EEB" w14:textId="77777777" w:rsidR="003F4B49" w:rsidRPr="00E47A70" w:rsidRDefault="003F4B49" w:rsidP="003F4B49">
      <w:pPr>
        <w:ind w:left="284" w:right="282"/>
        <w:jc w:val="center"/>
        <w:rPr>
          <w:b/>
          <w:bCs/>
          <w:color w:val="222222"/>
          <w:highlight w:val="yellow"/>
        </w:rPr>
      </w:pPr>
      <w:r w:rsidRPr="00E47A70">
        <w:rPr>
          <w:b/>
          <w:bCs/>
          <w:color w:val="222222"/>
        </w:rPr>
        <w:t>„</w:t>
      </w:r>
      <w:r w:rsidRPr="00E47A70">
        <w:rPr>
          <w:b/>
          <w:bCs/>
        </w:rPr>
        <w:t>Datortehnikas piegāde „Latvijas dzelzceļš” koncerna vajadzībām</w:t>
      </w:r>
      <w:r w:rsidRPr="00E47A70">
        <w:rPr>
          <w:b/>
          <w:bCs/>
          <w:color w:val="212529"/>
          <w:shd w:val="clear" w:color="auto" w:fill="FFFFFF"/>
        </w:rPr>
        <w:t>”</w:t>
      </w:r>
      <w:r w:rsidRPr="00E47A70">
        <w:rPr>
          <w:b/>
          <w:bCs/>
          <w:color w:val="222222"/>
          <w:highlight w:val="yellow"/>
        </w:rPr>
        <w:t xml:space="preserve"> </w:t>
      </w:r>
    </w:p>
    <w:p w14:paraId="24C5833F" w14:textId="77777777" w:rsidR="003F4B49" w:rsidRPr="003838DE" w:rsidRDefault="003F4B49" w:rsidP="003F4B49">
      <w:pPr>
        <w:ind w:left="284" w:right="282"/>
        <w:rPr>
          <w:rFonts w:eastAsia="Calibri"/>
        </w:rPr>
      </w:pPr>
    </w:p>
    <w:p w14:paraId="4848D25E" w14:textId="77777777" w:rsidR="003F4B49" w:rsidRPr="003838DE" w:rsidRDefault="003F4B49" w:rsidP="003F4B49">
      <w:pPr>
        <w:ind w:left="284" w:right="282"/>
        <w:jc w:val="center"/>
        <w:rPr>
          <w:rFonts w:eastAsia="Calibri"/>
          <w:b/>
        </w:rPr>
      </w:pPr>
      <w:r w:rsidRPr="003838DE">
        <w:rPr>
          <w:rFonts w:eastAsia="Calibri"/>
          <w:b/>
        </w:rPr>
        <w:t>Skaidrojums Nr.</w:t>
      </w:r>
      <w:r>
        <w:rPr>
          <w:rFonts w:eastAsia="Calibri"/>
          <w:b/>
        </w:rPr>
        <w:t>3</w:t>
      </w:r>
    </w:p>
    <w:p w14:paraId="2CBB28C1" w14:textId="77777777" w:rsidR="003F4B49" w:rsidRPr="003838DE" w:rsidRDefault="003F4B49" w:rsidP="003F4B49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4253"/>
      </w:tblGrid>
      <w:tr w:rsidR="003F4B49" w:rsidRPr="003838DE" w14:paraId="605C53BF" w14:textId="77777777" w:rsidTr="003F4B49">
        <w:trPr>
          <w:trHeight w:val="655"/>
        </w:trPr>
        <w:tc>
          <w:tcPr>
            <w:tcW w:w="709" w:type="dxa"/>
            <w:shd w:val="clear" w:color="auto" w:fill="FFF2CC"/>
            <w:vAlign w:val="center"/>
          </w:tcPr>
          <w:p w14:paraId="23174E54" w14:textId="77777777" w:rsidR="003F4B49" w:rsidRPr="003838DE" w:rsidRDefault="003F4B49" w:rsidP="00910187">
            <w:pPr>
              <w:jc w:val="center"/>
              <w:rPr>
                <w:rFonts w:eastAsia="Calibri"/>
                <w:b/>
              </w:rPr>
            </w:pPr>
            <w:r w:rsidRPr="003838DE">
              <w:rPr>
                <w:rFonts w:eastAsia="Calibri"/>
                <w:b/>
              </w:rPr>
              <w:t>Nr.</w:t>
            </w:r>
          </w:p>
          <w:p w14:paraId="5024BAAA" w14:textId="77777777" w:rsidR="003F4B49" w:rsidRPr="003838DE" w:rsidRDefault="003F4B49" w:rsidP="00910187">
            <w:pPr>
              <w:jc w:val="center"/>
              <w:rPr>
                <w:rFonts w:eastAsia="Calibri"/>
                <w:b/>
              </w:rPr>
            </w:pPr>
            <w:r w:rsidRPr="003838DE">
              <w:rPr>
                <w:rFonts w:eastAsia="Calibri"/>
                <w:b/>
              </w:rPr>
              <w:t>p.k.</w:t>
            </w:r>
          </w:p>
        </w:tc>
        <w:tc>
          <w:tcPr>
            <w:tcW w:w="4961" w:type="dxa"/>
            <w:shd w:val="clear" w:color="auto" w:fill="FFF2CC"/>
            <w:vAlign w:val="center"/>
          </w:tcPr>
          <w:p w14:paraId="2C19F6E8" w14:textId="77777777" w:rsidR="003F4B49" w:rsidRPr="003838DE" w:rsidRDefault="003F4B49" w:rsidP="00910187">
            <w:pPr>
              <w:jc w:val="center"/>
              <w:rPr>
                <w:rFonts w:eastAsia="Calibri"/>
                <w:b/>
                <w:i/>
              </w:rPr>
            </w:pPr>
            <w:r w:rsidRPr="003838DE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253" w:type="dxa"/>
            <w:shd w:val="clear" w:color="auto" w:fill="FFF2CC"/>
            <w:vAlign w:val="center"/>
          </w:tcPr>
          <w:p w14:paraId="7B21F260" w14:textId="77777777" w:rsidR="003F4B49" w:rsidRPr="003838DE" w:rsidRDefault="003F4B49" w:rsidP="00910187">
            <w:pPr>
              <w:jc w:val="center"/>
              <w:rPr>
                <w:rFonts w:eastAsia="Calibri"/>
                <w:b/>
                <w:i/>
              </w:rPr>
            </w:pPr>
            <w:r w:rsidRPr="003838DE">
              <w:rPr>
                <w:rFonts w:eastAsia="Calibri"/>
                <w:b/>
                <w:i/>
              </w:rPr>
              <w:t>Atbilde</w:t>
            </w:r>
          </w:p>
        </w:tc>
      </w:tr>
      <w:tr w:rsidR="003F4B49" w:rsidRPr="003838DE" w14:paraId="59119CF2" w14:textId="77777777" w:rsidTr="003F4B49">
        <w:trPr>
          <w:trHeight w:val="834"/>
        </w:trPr>
        <w:tc>
          <w:tcPr>
            <w:tcW w:w="709" w:type="dxa"/>
            <w:shd w:val="clear" w:color="auto" w:fill="auto"/>
          </w:tcPr>
          <w:p w14:paraId="51059E6D" w14:textId="77777777" w:rsidR="003F4B49" w:rsidRPr="003838DE" w:rsidRDefault="003F4B49" w:rsidP="00910187">
            <w:pPr>
              <w:jc w:val="center"/>
              <w:rPr>
                <w:rFonts w:eastAsia="Calibri"/>
              </w:rPr>
            </w:pPr>
            <w:r w:rsidRPr="003838DE">
              <w:rPr>
                <w:rFonts w:eastAsia="Calibri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5F9BA5D8" w14:textId="77777777" w:rsidR="003F4B49" w:rsidRPr="008110AC" w:rsidRDefault="003F4B49" w:rsidP="00910187">
            <w:r w:rsidRPr="008110AC">
              <w:t>Pretendents ir iepazinies ar VAS “Latvijas dzelzceļš” sarunu procedūras ar publikāciju, “Datortehnikas piegāde “Latvijas dzelzceļš” koncerna vajadzībām”, identifikācijas nr. LDZ 2023/61-SPAVC, nolikumu un tehnisko specifikāciju. Sarunu procedūras priekšmeta 7. pozīcijai: „Stacionārais dators” minēta prasība integrēta video karte procesorā</w:t>
            </w:r>
            <w:r w:rsidRPr="008110AC">
              <w:rPr>
                <w:i/>
                <w:iCs/>
              </w:rPr>
              <w:t xml:space="preserve"> “ne mazāk kā 512MB (izmanto no kopējās operatīvās atmiņas), Iespējams pievienot fiziski vismaz divus monitorus vienlaicīgi. Atbalsta vismaz divus monitorus ar 1920x1200 izšķirtspēju.</w:t>
            </w:r>
            <w:r w:rsidRPr="008110AC">
              <w:t xml:space="preserve">”. </w:t>
            </w:r>
          </w:p>
          <w:p w14:paraId="71363F09" w14:textId="77777777" w:rsidR="003F4B49" w:rsidRPr="008110AC" w:rsidRDefault="003F4B49" w:rsidP="00910187">
            <w:pPr>
              <w:rPr>
                <w:sz w:val="20"/>
                <w:szCs w:val="20"/>
              </w:rPr>
            </w:pPr>
            <w:r w:rsidRPr="008110AC">
              <w:t>Vai par atbilstošu tiks uzskatīta, piemēram, Intel UHD 730 integrētā video karte, kura atbalsta līdz 4GB no kopējās operatīvās atmiņas (</w:t>
            </w:r>
            <w:proofErr w:type="spellStart"/>
            <w:r w:rsidRPr="008110AC">
              <w:t>Shared</w:t>
            </w:r>
            <w:proofErr w:type="spellEnd"/>
            <w:r w:rsidRPr="008110AC">
              <w:t xml:space="preserve"> VRAM </w:t>
            </w:r>
            <w:proofErr w:type="spellStart"/>
            <w:r w:rsidRPr="008110AC">
              <w:t>Memory</w:t>
            </w:r>
            <w:proofErr w:type="spellEnd"/>
            <w:r w:rsidRPr="008110AC">
              <w:t xml:space="preserve">)? Vai arī norādītais video kartes apjoms ne mazāk kā 512MB ir </w:t>
            </w:r>
            <w:proofErr w:type="spellStart"/>
            <w:r w:rsidRPr="008110AC">
              <w:t>Dedicated</w:t>
            </w:r>
            <w:proofErr w:type="spellEnd"/>
            <w:r w:rsidRPr="008110AC">
              <w:t xml:space="preserve"> Video </w:t>
            </w:r>
            <w:proofErr w:type="spellStart"/>
            <w:r w:rsidRPr="008110AC">
              <w:t>Memory</w:t>
            </w:r>
            <w:proofErr w:type="spellEnd"/>
            <w:r w:rsidRPr="008110AC">
              <w:t xml:space="preserve">, kuru sasniedz procesorā integrēta AMD </w:t>
            </w:r>
            <w:proofErr w:type="spellStart"/>
            <w:r w:rsidRPr="008110AC">
              <w:t>Graphics</w:t>
            </w:r>
            <w:proofErr w:type="spellEnd"/>
            <w:r w:rsidRPr="008110AC">
              <w:t xml:space="preserve"> video karte, tādejādi izslēdzot iespēju piedāvāt preci ar Intel procesoriem?</w:t>
            </w:r>
          </w:p>
        </w:tc>
        <w:tc>
          <w:tcPr>
            <w:tcW w:w="4253" w:type="dxa"/>
            <w:shd w:val="clear" w:color="auto" w:fill="auto"/>
          </w:tcPr>
          <w:p w14:paraId="491D27DE" w14:textId="77777777" w:rsidR="003F4B49" w:rsidRPr="008A5548" w:rsidRDefault="003F4B49" w:rsidP="00910187">
            <w:r w:rsidRPr="008A5548">
              <w:t xml:space="preserve">Skaidrojam, ka </w:t>
            </w:r>
            <w:r>
              <w:t>p</w:t>
            </w:r>
            <w:r w:rsidRPr="008A5548">
              <w:t>ar atbilstošu tiks uzskatīta integrētā video karte, ar vismaz 512</w:t>
            </w:r>
            <w:r>
              <w:t xml:space="preserve"> </w:t>
            </w:r>
            <w:r w:rsidRPr="008A5548">
              <w:t>MB atmiņu. Integrētā video karte drīkst izmantot kopējo operatīvo atmiņu (</w:t>
            </w:r>
            <w:proofErr w:type="spellStart"/>
            <w:r w:rsidRPr="008A5548">
              <w:t>Shared</w:t>
            </w:r>
            <w:proofErr w:type="spellEnd"/>
            <w:r w:rsidRPr="008A5548">
              <w:t xml:space="preserve"> VRAM </w:t>
            </w:r>
            <w:proofErr w:type="spellStart"/>
            <w:r w:rsidRPr="008A5548">
              <w:t>Memory</w:t>
            </w:r>
            <w:proofErr w:type="spellEnd"/>
            <w:r w:rsidRPr="008A5548">
              <w:t>). Piedāvātā, Intel UHD 730, integrētā video karte ir uzskatāma par atbilstošu norādītajai prasībai.</w:t>
            </w:r>
          </w:p>
          <w:p w14:paraId="7E8F4331" w14:textId="77777777" w:rsidR="003F4B49" w:rsidRPr="00062F45" w:rsidRDefault="003F4B49" w:rsidP="00910187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5AE539A0" w14:textId="77777777" w:rsidR="003F4B49" w:rsidRPr="003F4B49" w:rsidRDefault="003F4B49">
      <w:pPr>
        <w:rPr>
          <w:rFonts w:ascii="Arial" w:hAnsi="Arial" w:cs="Arial"/>
          <w:b/>
          <w:bCs/>
        </w:rPr>
      </w:pPr>
    </w:p>
    <w:sectPr w:rsidR="003F4B49" w:rsidRPr="003F4B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49"/>
    <w:rsid w:val="003204EA"/>
    <w:rsid w:val="003F4B49"/>
    <w:rsid w:val="0098236C"/>
    <w:rsid w:val="00C20434"/>
    <w:rsid w:val="00E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5B1E"/>
  <w15:chartTrackingRefBased/>
  <w15:docId w15:val="{2CD10E51-E9B2-4D54-9947-EF294C0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4B49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3F4B49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3F4B49"/>
    <w:pPr>
      <w:ind w:left="720"/>
      <w:contextualSpacing/>
      <w:jc w:val="left"/>
    </w:pPr>
    <w:rPr>
      <w:rFonts w:eastAsia="Calibri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2023-04-14T05:05:00Z</dcterms:created>
  <dcterms:modified xsi:type="dcterms:W3CDTF">2023-04-14T05:05:00Z</dcterms:modified>
</cp:coreProperties>
</file>