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D5F1" w14:textId="77777777" w:rsidR="00BA65A1" w:rsidRPr="002A4749" w:rsidRDefault="00BA65A1" w:rsidP="00BA65A1">
      <w:pPr>
        <w:pStyle w:val="Default"/>
        <w:jc w:val="right"/>
        <w:rPr>
          <w:rFonts w:ascii="Arial" w:hAnsi="Arial" w:cs="Arial"/>
          <w:sz w:val="22"/>
          <w:szCs w:val="22"/>
          <w:lang w:val="lv-LV"/>
        </w:rPr>
      </w:pPr>
      <w:r w:rsidRPr="002A4749">
        <w:rPr>
          <w:rFonts w:ascii="Arial" w:hAnsi="Arial" w:cs="Arial"/>
          <w:sz w:val="22"/>
          <w:szCs w:val="22"/>
          <w:lang w:val="lv-LV"/>
        </w:rPr>
        <w:t>APSTIPRINĀTS</w:t>
      </w:r>
    </w:p>
    <w:p w14:paraId="0E996B93" w14:textId="77777777" w:rsidR="00BA65A1" w:rsidRPr="002A4749" w:rsidRDefault="00BA65A1" w:rsidP="00BA65A1">
      <w:pPr>
        <w:pStyle w:val="Default"/>
        <w:jc w:val="right"/>
        <w:rPr>
          <w:rFonts w:ascii="Arial" w:hAnsi="Arial" w:cs="Arial"/>
          <w:sz w:val="22"/>
          <w:szCs w:val="22"/>
          <w:lang w:val="lv-LV"/>
        </w:rPr>
      </w:pPr>
      <w:r w:rsidRPr="002A4749">
        <w:rPr>
          <w:rFonts w:ascii="Arial" w:hAnsi="Arial" w:cs="Arial"/>
          <w:sz w:val="22"/>
          <w:szCs w:val="22"/>
          <w:lang w:val="lv-LV"/>
        </w:rPr>
        <w:t>ar VAS “Latvijas dzelzceļš” iepirkuma komisijas</w:t>
      </w:r>
    </w:p>
    <w:p w14:paraId="2EC0A4E5" w14:textId="580CD2BA" w:rsidR="00BA65A1" w:rsidRPr="002A4749" w:rsidRDefault="00BA65A1" w:rsidP="00BA65A1">
      <w:pPr>
        <w:pStyle w:val="Default"/>
        <w:jc w:val="right"/>
        <w:rPr>
          <w:rFonts w:ascii="Arial" w:hAnsi="Arial" w:cs="Arial"/>
          <w:sz w:val="22"/>
          <w:szCs w:val="22"/>
          <w:lang w:val="lv-LV"/>
        </w:rPr>
      </w:pPr>
      <w:r w:rsidRPr="002A4749">
        <w:rPr>
          <w:rFonts w:ascii="Arial" w:hAnsi="Arial" w:cs="Arial"/>
          <w:sz w:val="22"/>
          <w:szCs w:val="22"/>
          <w:lang w:val="lv-LV"/>
        </w:rPr>
        <w:t xml:space="preserve">2021.gada </w:t>
      </w:r>
      <w:r w:rsidR="009D10E8">
        <w:rPr>
          <w:rFonts w:ascii="Arial" w:hAnsi="Arial" w:cs="Arial"/>
          <w:sz w:val="22"/>
          <w:szCs w:val="22"/>
          <w:lang w:val="lv-LV"/>
        </w:rPr>
        <w:t>15.</w:t>
      </w:r>
      <w:r>
        <w:rPr>
          <w:rFonts w:ascii="Arial" w:hAnsi="Arial" w:cs="Arial"/>
          <w:sz w:val="22"/>
          <w:szCs w:val="22"/>
          <w:lang w:val="lv-LV"/>
        </w:rPr>
        <w:t xml:space="preserve">jūnija </w:t>
      </w:r>
      <w:r w:rsidR="00CB291E">
        <w:rPr>
          <w:rFonts w:ascii="Arial" w:hAnsi="Arial" w:cs="Arial"/>
          <w:sz w:val="22"/>
          <w:szCs w:val="22"/>
          <w:lang w:val="lv-LV"/>
        </w:rPr>
        <w:t>5</w:t>
      </w:r>
      <w:r w:rsidRPr="002A4749">
        <w:rPr>
          <w:rFonts w:ascii="Arial" w:hAnsi="Arial" w:cs="Arial"/>
          <w:sz w:val="22"/>
          <w:szCs w:val="22"/>
          <w:lang w:val="lv-LV"/>
        </w:rPr>
        <w:t>.sēdes protokolu</w:t>
      </w:r>
    </w:p>
    <w:p w14:paraId="6CA0BA42" w14:textId="77777777" w:rsidR="005B1BD8" w:rsidRDefault="005B1BD8" w:rsidP="007F0741">
      <w:pPr>
        <w:pStyle w:val="Default"/>
        <w:jc w:val="center"/>
        <w:rPr>
          <w:rFonts w:ascii="Arial" w:hAnsi="Arial" w:cs="Arial"/>
          <w:b/>
          <w:sz w:val="22"/>
          <w:szCs w:val="22"/>
          <w:lang w:val="lv-LV"/>
        </w:rPr>
      </w:pPr>
    </w:p>
    <w:p w14:paraId="43CD303B" w14:textId="749AAB0B" w:rsidR="007F0741" w:rsidRDefault="007F0741" w:rsidP="007F0741">
      <w:pPr>
        <w:pStyle w:val="Default"/>
        <w:jc w:val="center"/>
        <w:rPr>
          <w:rFonts w:ascii="Arial" w:hAnsi="Arial" w:cs="Arial"/>
          <w:b/>
          <w:sz w:val="22"/>
          <w:szCs w:val="22"/>
          <w:lang w:val="lv-LV"/>
        </w:rPr>
      </w:pPr>
      <w:r w:rsidRPr="00EE0113">
        <w:rPr>
          <w:rFonts w:ascii="Arial" w:hAnsi="Arial" w:cs="Arial"/>
          <w:b/>
          <w:sz w:val="22"/>
          <w:szCs w:val="22"/>
          <w:lang w:val="lv-LV"/>
        </w:rPr>
        <w:t>Sarunu procedūrā ar publikāciju</w:t>
      </w:r>
      <w:r>
        <w:rPr>
          <w:rFonts w:ascii="Arial" w:hAnsi="Arial" w:cs="Arial"/>
          <w:b/>
          <w:sz w:val="22"/>
          <w:szCs w:val="22"/>
          <w:lang w:val="lv-LV"/>
        </w:rPr>
        <w:t xml:space="preserve"> </w:t>
      </w:r>
      <w:r w:rsidRPr="00EE0113">
        <w:rPr>
          <w:rFonts w:ascii="Arial" w:hAnsi="Arial" w:cs="Arial"/>
          <w:b/>
          <w:sz w:val="22"/>
          <w:szCs w:val="22"/>
          <w:lang w:val="lv-LV"/>
        </w:rPr>
        <w:t>“</w:t>
      </w:r>
      <w:r>
        <w:rPr>
          <w:rFonts w:ascii="Arial" w:hAnsi="Arial" w:cs="Arial"/>
          <w:b/>
          <w:sz w:val="22"/>
          <w:szCs w:val="22"/>
          <w:lang w:val="lv-LV"/>
        </w:rPr>
        <w:t>Telpu uzkopšanas pakalpojumi</w:t>
      </w:r>
      <w:r w:rsidRPr="00EE0113">
        <w:rPr>
          <w:rFonts w:ascii="Arial" w:hAnsi="Arial" w:cs="Arial"/>
          <w:b/>
          <w:sz w:val="22"/>
          <w:szCs w:val="22"/>
          <w:lang w:val="lv-LV"/>
        </w:rPr>
        <w:t>”</w:t>
      </w:r>
      <w:r>
        <w:rPr>
          <w:rFonts w:ascii="Arial" w:hAnsi="Arial" w:cs="Arial"/>
          <w:b/>
          <w:sz w:val="22"/>
          <w:szCs w:val="22"/>
          <w:lang w:val="lv-LV"/>
        </w:rPr>
        <w:t>,</w:t>
      </w:r>
    </w:p>
    <w:p w14:paraId="31C021F3" w14:textId="77777777" w:rsidR="007F0741" w:rsidRPr="00880D07" w:rsidRDefault="007F0741" w:rsidP="007F0741">
      <w:pPr>
        <w:pStyle w:val="Default"/>
        <w:jc w:val="center"/>
        <w:rPr>
          <w:rFonts w:ascii="Arial" w:hAnsi="Arial" w:cs="Arial"/>
          <w:b/>
          <w:sz w:val="22"/>
          <w:szCs w:val="22"/>
          <w:lang w:val="lv-LV"/>
        </w:rPr>
      </w:pPr>
      <w:r w:rsidRPr="00880D07">
        <w:rPr>
          <w:rFonts w:ascii="Arial" w:hAnsi="Arial" w:cs="Arial"/>
          <w:sz w:val="22"/>
          <w:szCs w:val="22"/>
          <w:lang w:val="lv-LV"/>
        </w:rPr>
        <w:t>iepirkuma identifikācijas nr. LDZ 2021/30–IBz</w:t>
      </w:r>
    </w:p>
    <w:p w14:paraId="32E32AF0" w14:textId="77777777" w:rsidR="007F0741" w:rsidRDefault="007F0741" w:rsidP="007F0741">
      <w:pPr>
        <w:pStyle w:val="Default"/>
        <w:jc w:val="center"/>
        <w:rPr>
          <w:rFonts w:ascii="Arial" w:hAnsi="Arial" w:cs="Arial"/>
          <w:b/>
          <w:sz w:val="22"/>
          <w:szCs w:val="22"/>
          <w:lang w:val="lv-LV"/>
        </w:rPr>
      </w:pPr>
      <w:r w:rsidRPr="00EE0113">
        <w:rPr>
          <w:rFonts w:ascii="Arial" w:hAnsi="Arial" w:cs="Arial"/>
          <w:b/>
          <w:sz w:val="22"/>
          <w:szCs w:val="22"/>
          <w:lang w:val="lv-LV"/>
        </w:rPr>
        <w:t>(turpmāk – sarunu procedūra)</w:t>
      </w:r>
    </w:p>
    <w:p w14:paraId="4FF313DA" w14:textId="77777777" w:rsidR="007F0741" w:rsidRDefault="007F0741" w:rsidP="007F0741">
      <w:pPr>
        <w:spacing w:after="160" w:line="259" w:lineRule="auto"/>
        <w:jc w:val="center"/>
        <w:rPr>
          <w:rFonts w:ascii="Arial" w:hAnsi="Arial" w:cs="Arial"/>
          <w:b/>
          <w:smallCaps/>
          <w:sz w:val="22"/>
          <w:szCs w:val="22"/>
          <w:lang w:val="lv-LV"/>
        </w:rPr>
      </w:pPr>
    </w:p>
    <w:p w14:paraId="3B4D63CB" w14:textId="77777777" w:rsidR="007F0741" w:rsidRDefault="007F0741" w:rsidP="007F0741">
      <w:pPr>
        <w:spacing w:after="160" w:line="259" w:lineRule="auto"/>
        <w:jc w:val="center"/>
        <w:rPr>
          <w:rFonts w:ascii="Arial" w:hAnsi="Arial" w:cs="Arial"/>
          <w:b/>
          <w:sz w:val="22"/>
          <w:szCs w:val="22"/>
          <w:lang w:val="lv-LV"/>
        </w:rPr>
      </w:pPr>
      <w:r w:rsidRPr="00AE62BB">
        <w:rPr>
          <w:rFonts w:ascii="Arial" w:hAnsi="Arial" w:cs="Arial"/>
          <w:b/>
          <w:smallCaps/>
          <w:sz w:val="22"/>
          <w:szCs w:val="22"/>
          <w:lang w:val="lv-LV"/>
        </w:rPr>
        <w:t>Skaidrojums</w:t>
      </w:r>
      <w:r>
        <w:rPr>
          <w:rFonts w:ascii="Arial" w:hAnsi="Arial" w:cs="Arial"/>
          <w:b/>
          <w:sz w:val="22"/>
          <w:szCs w:val="22"/>
          <w:lang w:val="lv-LV"/>
        </w:rPr>
        <w:t xml:space="preserve"> Nr.3</w:t>
      </w:r>
    </w:p>
    <w:p w14:paraId="22FA352B" w14:textId="1FA65340" w:rsidR="007F0741" w:rsidRPr="008E100F" w:rsidRDefault="007F0741" w:rsidP="007F0741">
      <w:pPr>
        <w:pStyle w:val="Default"/>
        <w:jc w:val="center"/>
        <w:rPr>
          <w:rFonts w:ascii="Arial" w:hAnsi="Arial" w:cs="Arial"/>
          <w:bCs/>
          <w:sz w:val="22"/>
          <w:szCs w:val="22"/>
          <w:lang w:val="lv-LV"/>
        </w:rPr>
      </w:pPr>
      <w:r>
        <w:rPr>
          <w:rFonts w:ascii="Arial" w:hAnsi="Arial" w:cs="Arial"/>
          <w:bCs/>
          <w:sz w:val="22"/>
          <w:szCs w:val="22"/>
          <w:lang w:val="lv-LV"/>
        </w:rPr>
        <w:t xml:space="preserve">Iepirkuma komisijas sniegtā atbilde pēc </w:t>
      </w:r>
      <w:r w:rsidRPr="008E100F">
        <w:rPr>
          <w:rFonts w:ascii="Arial" w:hAnsi="Arial" w:cs="Arial"/>
          <w:bCs/>
          <w:sz w:val="22"/>
          <w:szCs w:val="22"/>
          <w:lang w:val="lv-LV"/>
        </w:rPr>
        <w:t>Ieinteresēt</w:t>
      </w:r>
      <w:r>
        <w:rPr>
          <w:rFonts w:ascii="Arial" w:hAnsi="Arial" w:cs="Arial"/>
          <w:bCs/>
          <w:sz w:val="22"/>
          <w:szCs w:val="22"/>
          <w:lang w:val="lv-LV"/>
        </w:rPr>
        <w:t>ā</w:t>
      </w:r>
      <w:r w:rsidRPr="008E100F">
        <w:rPr>
          <w:rFonts w:ascii="Arial" w:hAnsi="Arial" w:cs="Arial"/>
          <w:bCs/>
          <w:sz w:val="22"/>
          <w:szCs w:val="22"/>
          <w:lang w:val="lv-LV"/>
        </w:rPr>
        <w:t xml:space="preserve"> piegādātāj</w:t>
      </w:r>
      <w:r>
        <w:rPr>
          <w:rFonts w:ascii="Arial" w:hAnsi="Arial" w:cs="Arial"/>
          <w:bCs/>
          <w:sz w:val="22"/>
          <w:szCs w:val="22"/>
          <w:lang w:val="lv-LV"/>
        </w:rPr>
        <w:t>a</w:t>
      </w:r>
      <w:r w:rsidRPr="008E100F">
        <w:rPr>
          <w:rFonts w:ascii="Arial" w:hAnsi="Arial" w:cs="Arial"/>
          <w:bCs/>
          <w:sz w:val="22"/>
          <w:szCs w:val="22"/>
          <w:lang w:val="lv-LV"/>
        </w:rPr>
        <w:t xml:space="preserve"> jautājum</w:t>
      </w:r>
      <w:r>
        <w:rPr>
          <w:rFonts w:ascii="Arial" w:hAnsi="Arial" w:cs="Arial"/>
          <w:bCs/>
          <w:sz w:val="22"/>
          <w:szCs w:val="22"/>
          <w:lang w:val="lv-LV"/>
        </w:rPr>
        <w:t>a</w:t>
      </w:r>
      <w:r w:rsidRPr="008E100F">
        <w:rPr>
          <w:rFonts w:ascii="Arial" w:hAnsi="Arial" w:cs="Arial"/>
          <w:bCs/>
          <w:sz w:val="22"/>
          <w:szCs w:val="22"/>
          <w:lang w:val="lv-LV"/>
        </w:rPr>
        <w:t xml:space="preserve"> (saņemt</w:t>
      </w:r>
      <w:r>
        <w:rPr>
          <w:rFonts w:ascii="Arial" w:hAnsi="Arial" w:cs="Arial"/>
          <w:bCs/>
          <w:sz w:val="22"/>
          <w:szCs w:val="22"/>
          <w:lang w:val="lv-LV"/>
        </w:rPr>
        <w:t xml:space="preserve">s </w:t>
      </w:r>
      <w:r w:rsidR="002D30A7">
        <w:rPr>
          <w:rFonts w:ascii="Arial" w:hAnsi="Arial" w:cs="Arial"/>
          <w:bCs/>
          <w:sz w:val="22"/>
          <w:szCs w:val="22"/>
          <w:lang w:val="lv-LV"/>
        </w:rPr>
        <w:t>14</w:t>
      </w:r>
      <w:bookmarkStart w:id="0" w:name="_GoBack"/>
      <w:bookmarkEnd w:id="0"/>
      <w:r>
        <w:rPr>
          <w:rFonts w:ascii="Arial" w:hAnsi="Arial" w:cs="Arial"/>
          <w:bCs/>
          <w:sz w:val="22"/>
          <w:szCs w:val="22"/>
          <w:lang w:val="lv-LV"/>
        </w:rPr>
        <w:t>.06.2021</w:t>
      </w:r>
      <w:r w:rsidRPr="0021184E">
        <w:rPr>
          <w:rFonts w:ascii="Arial" w:hAnsi="Arial" w:cs="Arial"/>
          <w:bCs/>
          <w:color w:val="auto"/>
          <w:sz w:val="22"/>
          <w:szCs w:val="22"/>
          <w:lang w:val="lv-LV"/>
        </w:rPr>
        <w:t>.</w:t>
      </w:r>
      <w:r w:rsidRPr="008E100F">
        <w:rPr>
          <w:rFonts w:ascii="Arial" w:hAnsi="Arial" w:cs="Arial"/>
          <w:bCs/>
          <w:sz w:val="22"/>
          <w:szCs w:val="22"/>
          <w:lang w:val="lv-LV"/>
        </w:rPr>
        <w:t>):</w:t>
      </w:r>
    </w:p>
    <w:p w14:paraId="73D684F7" w14:textId="77777777" w:rsidR="007F0741" w:rsidRDefault="007F0741" w:rsidP="007F0741">
      <w:pPr>
        <w:spacing w:after="160" w:line="259" w:lineRule="auto"/>
        <w:jc w:val="center"/>
        <w:rPr>
          <w:rFonts w:ascii="Arial" w:hAnsi="Arial" w:cs="Arial"/>
          <w:b/>
          <w:sz w:val="22"/>
          <w:szCs w:val="22"/>
          <w:lang w:val="lv-LV"/>
        </w:rPr>
      </w:pPr>
    </w:p>
    <w:tbl>
      <w:tblPr>
        <w:tblStyle w:val="TableGrid"/>
        <w:tblW w:w="9077" w:type="dxa"/>
        <w:tblInd w:w="-289" w:type="dxa"/>
        <w:tblLook w:val="04A0" w:firstRow="1" w:lastRow="0" w:firstColumn="1" w:lastColumn="0" w:noHBand="0" w:noVBand="1"/>
      </w:tblPr>
      <w:tblGrid>
        <w:gridCol w:w="4399"/>
        <w:gridCol w:w="4678"/>
      </w:tblGrid>
      <w:tr w:rsidR="007F0741" w:rsidRPr="00AE62BB" w14:paraId="3A92955F" w14:textId="77777777" w:rsidTr="002D3595">
        <w:tc>
          <w:tcPr>
            <w:tcW w:w="4399" w:type="dxa"/>
          </w:tcPr>
          <w:p w14:paraId="07B7E97A" w14:textId="77777777" w:rsidR="007F0741" w:rsidRPr="004304FF" w:rsidRDefault="007F0741" w:rsidP="002D3595">
            <w:pPr>
              <w:pStyle w:val="Default"/>
              <w:jc w:val="center"/>
              <w:rPr>
                <w:rFonts w:ascii="Arial" w:hAnsi="Arial" w:cs="Arial"/>
                <w:b/>
                <w:sz w:val="22"/>
                <w:szCs w:val="22"/>
                <w:lang w:val="lv-LV"/>
              </w:rPr>
            </w:pPr>
            <w:r w:rsidRPr="004304FF">
              <w:rPr>
                <w:rFonts w:ascii="Arial" w:hAnsi="Arial" w:cs="Arial"/>
                <w:b/>
                <w:sz w:val="22"/>
                <w:szCs w:val="22"/>
                <w:lang w:val="lv-LV"/>
              </w:rPr>
              <w:t>Jautājums</w:t>
            </w:r>
          </w:p>
        </w:tc>
        <w:tc>
          <w:tcPr>
            <w:tcW w:w="4678" w:type="dxa"/>
          </w:tcPr>
          <w:p w14:paraId="3584969B" w14:textId="77777777" w:rsidR="007F0741" w:rsidRPr="00AE62BB" w:rsidRDefault="007F0741" w:rsidP="002D3595">
            <w:pPr>
              <w:pStyle w:val="Default"/>
              <w:jc w:val="center"/>
              <w:rPr>
                <w:rFonts w:ascii="Arial" w:hAnsi="Arial" w:cs="Arial"/>
                <w:b/>
                <w:color w:val="auto"/>
                <w:sz w:val="22"/>
                <w:szCs w:val="22"/>
                <w:lang w:val="lv-LV"/>
              </w:rPr>
            </w:pPr>
            <w:r w:rsidRPr="00AE62BB">
              <w:rPr>
                <w:rFonts w:ascii="Arial" w:hAnsi="Arial" w:cs="Arial"/>
                <w:b/>
                <w:color w:val="auto"/>
                <w:sz w:val="22"/>
                <w:szCs w:val="22"/>
                <w:lang w:val="lv-LV"/>
              </w:rPr>
              <w:t>Atbilde</w:t>
            </w:r>
          </w:p>
        </w:tc>
      </w:tr>
      <w:tr w:rsidR="007F0741" w:rsidRPr="007F0741" w14:paraId="485B3F10" w14:textId="77777777" w:rsidTr="002D3595">
        <w:tc>
          <w:tcPr>
            <w:tcW w:w="4399" w:type="dxa"/>
          </w:tcPr>
          <w:p w14:paraId="247927EB" w14:textId="77777777" w:rsidR="007F0741" w:rsidRPr="004304FF" w:rsidRDefault="007F0741" w:rsidP="007F0741">
            <w:pPr>
              <w:pStyle w:val="ListParagraph"/>
              <w:numPr>
                <w:ilvl w:val="0"/>
                <w:numId w:val="1"/>
              </w:numPr>
              <w:ind w:left="313"/>
              <w:rPr>
                <w:rFonts w:ascii="Arial" w:hAnsi="Arial" w:cs="Arial"/>
              </w:rPr>
            </w:pPr>
            <w:r w:rsidRPr="004304FF">
              <w:rPr>
                <w:rFonts w:ascii="Arial" w:hAnsi="Arial" w:cs="Arial"/>
              </w:rPr>
              <w:t>“</w:t>
            </w:r>
            <w:r w:rsidRPr="001C466C">
              <w:rPr>
                <w:rFonts w:ascii="Arial" w:hAnsi="Arial" w:cs="Arial"/>
              </w:rPr>
              <w:t>Vai</w:t>
            </w:r>
            <w:r w:rsidRPr="004304FF">
              <w:rPr>
                <w:rFonts w:ascii="Arial" w:hAnsi="Arial" w:cs="Arial"/>
              </w:rPr>
              <w:t xml:space="preserve"> </w:t>
            </w:r>
            <w:r w:rsidRPr="001C466C">
              <w:rPr>
                <w:rFonts w:ascii="Arial" w:hAnsi="Arial" w:cs="Arial"/>
              </w:rPr>
              <w:t>piedāvājuma nodrošinājums drīkst būt apdrošināšanas polises veidā, ko izsniedz apdrošinātājs nevis banka</w:t>
            </w:r>
            <w:r w:rsidRPr="004304FF">
              <w:rPr>
                <w:rFonts w:ascii="Arial" w:hAnsi="Arial" w:cs="Arial"/>
              </w:rPr>
              <w:t>?</w:t>
            </w:r>
          </w:p>
        </w:tc>
        <w:tc>
          <w:tcPr>
            <w:tcW w:w="4678" w:type="dxa"/>
          </w:tcPr>
          <w:p w14:paraId="56FD2402" w14:textId="77777777" w:rsidR="007F0741" w:rsidRPr="004304FF" w:rsidRDefault="007F0741" w:rsidP="002D3595">
            <w:pPr>
              <w:ind w:firstLine="320"/>
              <w:rPr>
                <w:rFonts w:ascii="Arial" w:hAnsi="Arial" w:cs="Arial"/>
                <w:lang w:val="lv-LV" w:bidi="lo-LA"/>
              </w:rPr>
            </w:pPr>
            <w:r w:rsidRPr="004304FF">
              <w:rPr>
                <w:rFonts w:ascii="Arial" w:hAnsi="Arial" w:cs="Arial"/>
                <w:sz w:val="21"/>
                <w:szCs w:val="21"/>
                <w:shd w:val="clear" w:color="auto" w:fill="FFFFFF"/>
                <w:lang w:val="lv-LV"/>
              </w:rPr>
              <w:t>Šajā gadījumā pasūtītājs iespēju iesniegt piedāvājuma nodrošinājumu apdro</w:t>
            </w:r>
            <w:r>
              <w:rPr>
                <w:rFonts w:ascii="Arial" w:hAnsi="Arial" w:cs="Arial"/>
                <w:sz w:val="21"/>
                <w:szCs w:val="21"/>
                <w:shd w:val="clear" w:color="auto" w:fill="FFFFFF"/>
                <w:lang w:val="lv-LV"/>
              </w:rPr>
              <w:t>šināšanas polises veidā</w:t>
            </w:r>
            <w:r w:rsidRPr="004304FF">
              <w:rPr>
                <w:rFonts w:ascii="Arial" w:hAnsi="Arial" w:cs="Arial"/>
                <w:sz w:val="21"/>
                <w:szCs w:val="21"/>
                <w:shd w:val="clear" w:color="auto" w:fill="FFFFFF"/>
                <w:lang w:val="lv-LV"/>
              </w:rPr>
              <w:t> </w:t>
            </w:r>
            <w:r w:rsidRPr="004304FF">
              <w:rPr>
                <w:rStyle w:val="Emphasis"/>
                <w:rFonts w:ascii="Arial" w:hAnsi="Arial" w:cs="Arial"/>
                <w:b/>
                <w:bCs/>
                <w:sz w:val="21"/>
                <w:szCs w:val="21"/>
                <w:shd w:val="clear" w:color="auto" w:fill="FFFFFF"/>
                <w:lang w:val="lv-LV"/>
              </w:rPr>
              <w:t>nav</w:t>
            </w:r>
            <w:r w:rsidRPr="004304FF">
              <w:rPr>
                <w:rFonts w:ascii="Arial" w:hAnsi="Arial" w:cs="Arial"/>
                <w:sz w:val="21"/>
                <w:szCs w:val="21"/>
                <w:shd w:val="clear" w:color="auto" w:fill="FFFFFF"/>
                <w:lang w:val="lv-LV"/>
              </w:rPr>
              <w:t> paredzējis.</w:t>
            </w:r>
          </w:p>
        </w:tc>
      </w:tr>
      <w:tr w:rsidR="007F0741" w:rsidRPr="007F0741" w14:paraId="5D1C74AC" w14:textId="77777777" w:rsidTr="002D3595">
        <w:tc>
          <w:tcPr>
            <w:tcW w:w="4399" w:type="dxa"/>
          </w:tcPr>
          <w:p w14:paraId="6F8F1696" w14:textId="77777777" w:rsidR="007F0741" w:rsidRPr="001C466C" w:rsidRDefault="007F0741" w:rsidP="007F0741">
            <w:pPr>
              <w:pStyle w:val="ListParagraph"/>
              <w:numPr>
                <w:ilvl w:val="0"/>
                <w:numId w:val="1"/>
              </w:numPr>
              <w:ind w:left="313"/>
              <w:rPr>
                <w:rFonts w:ascii="Arial" w:hAnsi="Arial" w:cs="Arial"/>
              </w:rPr>
            </w:pPr>
            <w:r w:rsidRPr="001C466C">
              <w:rPr>
                <w:rFonts w:ascii="Arial" w:hAnsi="Arial" w:cs="Arial"/>
              </w:rPr>
              <w:t>Kāds ir plānotais/ vēlamais pakalpojuma uzsākšanas laiks?</w:t>
            </w:r>
          </w:p>
        </w:tc>
        <w:tc>
          <w:tcPr>
            <w:tcW w:w="4678" w:type="dxa"/>
          </w:tcPr>
          <w:p w14:paraId="5F626729" w14:textId="77777777" w:rsidR="007F0741" w:rsidRPr="00AB6C0E" w:rsidRDefault="007F0741" w:rsidP="002D3595">
            <w:pPr>
              <w:pStyle w:val="Default"/>
              <w:ind w:firstLine="320"/>
              <w:jc w:val="both"/>
              <w:rPr>
                <w:rFonts w:ascii="Arial" w:hAnsi="Arial" w:cs="Arial"/>
                <w:color w:val="auto"/>
                <w:sz w:val="22"/>
                <w:szCs w:val="22"/>
                <w:lang w:val="lv-LV"/>
              </w:rPr>
            </w:pPr>
            <w:r>
              <w:rPr>
                <w:rFonts w:ascii="Arial" w:hAnsi="Arial" w:cs="Arial"/>
                <w:color w:val="auto"/>
                <w:sz w:val="22"/>
                <w:szCs w:val="22"/>
                <w:lang w:val="lv-LV"/>
              </w:rPr>
              <w:t>Pakalpojuma izpilde jāuzsāk 3 darba dienu laikā pēc līguma noslēgšanas saskaņā ar nolikuma 2.6.1.punktu un līguma projekta (sarunu procedūras nolikuma 7.pielikums) 3.2.punktu.</w:t>
            </w:r>
          </w:p>
        </w:tc>
      </w:tr>
      <w:tr w:rsidR="007F0741" w:rsidRPr="001D04A8" w14:paraId="2CE82FD8" w14:textId="77777777" w:rsidTr="002D3595">
        <w:tc>
          <w:tcPr>
            <w:tcW w:w="4399" w:type="dxa"/>
          </w:tcPr>
          <w:p w14:paraId="27B4D017" w14:textId="77777777" w:rsidR="007F0741" w:rsidRPr="001C466C" w:rsidRDefault="007F0741" w:rsidP="007F0741">
            <w:pPr>
              <w:pStyle w:val="ListParagraph"/>
              <w:numPr>
                <w:ilvl w:val="0"/>
                <w:numId w:val="1"/>
              </w:numPr>
              <w:ind w:left="313"/>
              <w:rPr>
                <w:rFonts w:ascii="Arial" w:hAnsi="Arial" w:cs="Arial"/>
              </w:rPr>
            </w:pPr>
            <w:r w:rsidRPr="001C466C">
              <w:rPr>
                <w:rFonts w:ascii="Arial" w:hAnsi="Arial" w:cs="Arial"/>
              </w:rPr>
              <w:t>Kāds ir administratīvo telpu uzkopšanas laiks? Vai būtu iespējams precizēt no cikiem līdz cikiem drīkst veikt uzkopšanu objektos (izņemot stacijas zāles)? Vai administratīvo ēku kabinetus drīkst uzkopt tikai darba laikā atbildīgo personu klātbūtne vai arī to drīkst darīt ārpus Pasūtītāja darba laika?</w:t>
            </w:r>
          </w:p>
        </w:tc>
        <w:tc>
          <w:tcPr>
            <w:tcW w:w="4678" w:type="dxa"/>
          </w:tcPr>
          <w:p w14:paraId="5E9FC185" w14:textId="77777777" w:rsidR="007F0741" w:rsidRPr="009D10E8" w:rsidRDefault="007F0741" w:rsidP="002D3595">
            <w:pPr>
              <w:pStyle w:val="Default"/>
              <w:jc w:val="both"/>
              <w:rPr>
                <w:rFonts w:ascii="Arial" w:hAnsi="Arial" w:cs="Arial"/>
                <w:color w:val="auto"/>
                <w:sz w:val="22"/>
                <w:szCs w:val="22"/>
                <w:lang w:val="lv-LV"/>
              </w:rPr>
            </w:pPr>
            <w:r w:rsidRPr="009D10E8">
              <w:rPr>
                <w:rFonts w:ascii="Arial" w:hAnsi="Arial" w:cs="Arial"/>
                <w:color w:val="auto"/>
                <w:sz w:val="22"/>
                <w:szCs w:val="22"/>
                <w:lang w:val="lv-LV"/>
              </w:rPr>
              <w:t>Administratīvo telpu uzkopšanas laiks, saskaņojot ar Pasūtītāju</w:t>
            </w:r>
            <w:r>
              <w:rPr>
                <w:rFonts w:ascii="Arial" w:hAnsi="Arial" w:cs="Arial"/>
                <w:color w:val="auto"/>
                <w:sz w:val="22"/>
                <w:szCs w:val="22"/>
                <w:lang w:val="lv-LV"/>
              </w:rPr>
              <w:t xml:space="preserve"> un ievērojot šādus laika periodus</w:t>
            </w:r>
            <w:r w:rsidRPr="009D10E8">
              <w:rPr>
                <w:rFonts w:ascii="Arial" w:hAnsi="Arial" w:cs="Arial"/>
                <w:color w:val="auto"/>
                <w:sz w:val="22"/>
                <w:szCs w:val="22"/>
                <w:lang w:val="lv-LV"/>
              </w:rPr>
              <w:t>:</w:t>
            </w:r>
          </w:p>
          <w:p w14:paraId="31CFE9E1" w14:textId="77777777" w:rsidR="007F0741" w:rsidRPr="009D10E8" w:rsidRDefault="007F0741" w:rsidP="007F0741">
            <w:pPr>
              <w:pStyle w:val="Default"/>
              <w:numPr>
                <w:ilvl w:val="0"/>
                <w:numId w:val="2"/>
              </w:numPr>
              <w:jc w:val="both"/>
              <w:rPr>
                <w:rFonts w:ascii="Arial" w:hAnsi="Arial" w:cs="Arial"/>
                <w:color w:val="auto"/>
                <w:sz w:val="22"/>
                <w:szCs w:val="22"/>
                <w:lang w:val="lv-LV"/>
              </w:rPr>
            </w:pPr>
            <w:r w:rsidRPr="009D10E8">
              <w:rPr>
                <w:rFonts w:ascii="Arial" w:hAnsi="Arial" w:cs="Arial"/>
                <w:color w:val="auto"/>
                <w:sz w:val="22"/>
                <w:szCs w:val="22"/>
                <w:lang w:val="lv-LV"/>
              </w:rPr>
              <w:t>Rīgas pasažieru stacijai</w:t>
            </w:r>
          </w:p>
          <w:p w14:paraId="104C190F" w14:textId="77777777" w:rsidR="007F0741" w:rsidRPr="009D10E8" w:rsidRDefault="007F0741" w:rsidP="002D3595">
            <w:pPr>
              <w:pStyle w:val="Default"/>
              <w:jc w:val="both"/>
              <w:rPr>
                <w:rFonts w:ascii="Arial" w:hAnsi="Arial" w:cs="Arial"/>
                <w:color w:val="auto"/>
                <w:sz w:val="22"/>
                <w:szCs w:val="22"/>
                <w:lang w:val="lv-LV"/>
              </w:rPr>
            </w:pPr>
            <w:r w:rsidRPr="009D10E8">
              <w:rPr>
                <w:rFonts w:ascii="Arial" w:hAnsi="Arial" w:cs="Arial"/>
                <w:color w:val="auto"/>
                <w:sz w:val="22"/>
                <w:szCs w:val="22"/>
                <w:lang w:val="lv-LV"/>
              </w:rPr>
              <w:t>no 6.00 līdz 22.00 ( no tām 752 m</w:t>
            </w:r>
            <w:r w:rsidRPr="009D10E8">
              <w:rPr>
                <w:rFonts w:ascii="Arial" w:hAnsi="Arial" w:cs="Arial"/>
                <w:color w:val="auto"/>
                <w:sz w:val="22"/>
                <w:szCs w:val="22"/>
                <w:vertAlign w:val="superscript"/>
                <w:lang w:val="lv-LV"/>
              </w:rPr>
              <w:t xml:space="preserve">2 </w:t>
            </w:r>
            <w:r w:rsidRPr="009D10E8">
              <w:rPr>
                <w:rFonts w:ascii="Arial" w:hAnsi="Arial" w:cs="Arial"/>
                <w:color w:val="auto"/>
                <w:sz w:val="22"/>
                <w:szCs w:val="22"/>
                <w:lang w:val="lv-LV"/>
              </w:rPr>
              <w:t>no 7.00-22.00 noteikti darbinieku klātbūtnē)</w:t>
            </w:r>
          </w:p>
          <w:p w14:paraId="526A1064" w14:textId="77777777" w:rsidR="007F0741" w:rsidRPr="009D10E8" w:rsidRDefault="007F0741" w:rsidP="007F0741">
            <w:pPr>
              <w:pStyle w:val="Default"/>
              <w:numPr>
                <w:ilvl w:val="0"/>
                <w:numId w:val="2"/>
              </w:numPr>
              <w:jc w:val="both"/>
              <w:rPr>
                <w:rFonts w:ascii="Arial" w:hAnsi="Arial" w:cs="Arial"/>
                <w:color w:val="auto"/>
                <w:sz w:val="22"/>
                <w:szCs w:val="22"/>
                <w:lang w:val="lv-LV"/>
              </w:rPr>
            </w:pPr>
            <w:r w:rsidRPr="009D10E8">
              <w:rPr>
                <w:rFonts w:ascii="Arial" w:hAnsi="Arial" w:cs="Arial"/>
                <w:color w:val="auto"/>
                <w:sz w:val="22"/>
                <w:szCs w:val="22"/>
                <w:lang w:val="lv-LV"/>
              </w:rPr>
              <w:t>Gogoļa ielai 3</w:t>
            </w:r>
          </w:p>
          <w:p w14:paraId="4A03B228" w14:textId="77777777" w:rsidR="007F0741" w:rsidRPr="009D10E8" w:rsidRDefault="007F0741" w:rsidP="002D3595">
            <w:pPr>
              <w:pStyle w:val="Default"/>
              <w:jc w:val="both"/>
              <w:rPr>
                <w:rFonts w:ascii="Arial" w:hAnsi="Arial" w:cs="Arial"/>
                <w:color w:val="auto"/>
                <w:sz w:val="22"/>
                <w:szCs w:val="22"/>
                <w:lang w:val="lv-LV"/>
              </w:rPr>
            </w:pPr>
            <w:r w:rsidRPr="009D10E8">
              <w:rPr>
                <w:rFonts w:ascii="Arial" w:hAnsi="Arial" w:cs="Arial"/>
                <w:color w:val="auto"/>
                <w:sz w:val="22"/>
                <w:szCs w:val="22"/>
                <w:lang w:val="lv-LV"/>
              </w:rPr>
              <w:t>no 6.00 līdz 22.00  ( no tām 1399 m</w:t>
            </w:r>
            <w:r w:rsidRPr="009D10E8">
              <w:rPr>
                <w:rFonts w:ascii="Arial" w:hAnsi="Arial" w:cs="Arial"/>
                <w:color w:val="auto"/>
                <w:sz w:val="22"/>
                <w:szCs w:val="22"/>
                <w:vertAlign w:val="superscript"/>
                <w:lang w:val="lv-LV"/>
              </w:rPr>
              <w:t>2</w:t>
            </w:r>
            <w:r w:rsidRPr="009D10E8">
              <w:rPr>
                <w:rFonts w:ascii="Arial" w:hAnsi="Arial" w:cs="Arial"/>
                <w:color w:val="auto"/>
                <w:sz w:val="22"/>
                <w:szCs w:val="22"/>
                <w:lang w:val="lv-LV"/>
              </w:rPr>
              <w:t xml:space="preserve"> no 8.00 – 17.00 noteikti darbinieku klātbūtnē)</w:t>
            </w:r>
          </w:p>
          <w:p w14:paraId="0AD67C9B" w14:textId="77777777" w:rsidR="007F0741" w:rsidRPr="009D10E8" w:rsidRDefault="007F0741" w:rsidP="007F0741">
            <w:pPr>
              <w:pStyle w:val="Default"/>
              <w:numPr>
                <w:ilvl w:val="0"/>
                <w:numId w:val="2"/>
              </w:numPr>
              <w:jc w:val="both"/>
              <w:rPr>
                <w:rFonts w:ascii="Arial" w:hAnsi="Arial" w:cs="Arial"/>
                <w:color w:val="auto"/>
                <w:sz w:val="22"/>
                <w:szCs w:val="22"/>
                <w:lang w:val="lv-LV"/>
              </w:rPr>
            </w:pPr>
            <w:r w:rsidRPr="009D10E8">
              <w:rPr>
                <w:rFonts w:ascii="Arial" w:hAnsi="Arial" w:cs="Arial"/>
                <w:color w:val="auto"/>
                <w:sz w:val="22"/>
                <w:szCs w:val="22"/>
                <w:lang w:val="lv-LV"/>
              </w:rPr>
              <w:t>Turgeņeva ielai 14</w:t>
            </w:r>
          </w:p>
          <w:p w14:paraId="6176F224" w14:textId="77777777" w:rsidR="007F0741" w:rsidRPr="009D10E8" w:rsidRDefault="007F0741" w:rsidP="002D3595">
            <w:pPr>
              <w:pStyle w:val="Default"/>
              <w:jc w:val="both"/>
              <w:rPr>
                <w:rFonts w:ascii="Arial" w:hAnsi="Arial" w:cs="Arial"/>
                <w:color w:val="auto"/>
                <w:sz w:val="22"/>
                <w:szCs w:val="22"/>
                <w:lang w:val="lv-LV"/>
              </w:rPr>
            </w:pPr>
            <w:r w:rsidRPr="009D10E8">
              <w:rPr>
                <w:rFonts w:ascii="Arial" w:hAnsi="Arial" w:cs="Arial"/>
                <w:color w:val="auto"/>
                <w:sz w:val="22"/>
                <w:szCs w:val="22"/>
                <w:lang w:val="lv-LV"/>
              </w:rPr>
              <w:t>no 6.00 līdz 22.00 noteikti ( no tām 26.6 m</w:t>
            </w:r>
            <w:r w:rsidRPr="009D10E8">
              <w:rPr>
                <w:rFonts w:ascii="Arial" w:hAnsi="Arial" w:cs="Arial"/>
                <w:color w:val="auto"/>
                <w:sz w:val="22"/>
                <w:szCs w:val="22"/>
                <w:vertAlign w:val="superscript"/>
                <w:lang w:val="lv-LV"/>
              </w:rPr>
              <w:t>2</w:t>
            </w:r>
            <w:r w:rsidRPr="009D10E8">
              <w:rPr>
                <w:rFonts w:ascii="Arial" w:hAnsi="Arial" w:cs="Arial"/>
                <w:color w:val="auto"/>
                <w:sz w:val="22"/>
                <w:szCs w:val="22"/>
                <w:lang w:val="lv-LV"/>
              </w:rPr>
              <w:t xml:space="preserve"> no 8.00 līdz 17.00 darbinieku klātbūtnē)</w:t>
            </w:r>
          </w:p>
          <w:p w14:paraId="2B3432E2" w14:textId="77777777" w:rsidR="007F0741" w:rsidRPr="009D10E8" w:rsidRDefault="007F0741" w:rsidP="007F0741">
            <w:pPr>
              <w:pStyle w:val="Default"/>
              <w:numPr>
                <w:ilvl w:val="0"/>
                <w:numId w:val="2"/>
              </w:numPr>
              <w:jc w:val="both"/>
              <w:rPr>
                <w:rFonts w:ascii="Arial" w:hAnsi="Arial" w:cs="Arial"/>
                <w:color w:val="auto"/>
                <w:sz w:val="22"/>
                <w:szCs w:val="22"/>
                <w:lang w:val="lv-LV"/>
              </w:rPr>
            </w:pPr>
            <w:r w:rsidRPr="009D10E8">
              <w:rPr>
                <w:rFonts w:ascii="Arial" w:hAnsi="Arial" w:cs="Arial"/>
                <w:color w:val="auto"/>
                <w:sz w:val="22"/>
                <w:szCs w:val="22"/>
                <w:lang w:val="lv-LV"/>
              </w:rPr>
              <w:t>Turgeneva ielai 21.</w:t>
            </w:r>
          </w:p>
          <w:p w14:paraId="0C90DFD9" w14:textId="77777777" w:rsidR="007F0741" w:rsidRPr="009D10E8" w:rsidRDefault="007F0741" w:rsidP="002D3595">
            <w:pPr>
              <w:pStyle w:val="Default"/>
              <w:jc w:val="both"/>
              <w:rPr>
                <w:rFonts w:ascii="Arial" w:hAnsi="Arial" w:cs="Arial"/>
                <w:color w:val="auto"/>
                <w:sz w:val="22"/>
                <w:szCs w:val="22"/>
                <w:lang w:val="lv-LV"/>
              </w:rPr>
            </w:pPr>
            <w:r w:rsidRPr="009D10E8">
              <w:rPr>
                <w:rFonts w:ascii="Arial" w:hAnsi="Arial" w:cs="Arial"/>
                <w:color w:val="auto"/>
                <w:sz w:val="22"/>
                <w:szCs w:val="22"/>
                <w:lang w:val="lv-LV"/>
              </w:rPr>
              <w:t>no 6.00 līdz 22.00</w:t>
            </w:r>
          </w:p>
        </w:tc>
      </w:tr>
      <w:tr w:rsidR="007F0741" w:rsidRPr="007F0741" w14:paraId="428D2D1F" w14:textId="77777777" w:rsidTr="002D3595">
        <w:tc>
          <w:tcPr>
            <w:tcW w:w="4399" w:type="dxa"/>
          </w:tcPr>
          <w:p w14:paraId="62804B28" w14:textId="77777777" w:rsidR="007F0741" w:rsidRPr="001C466C" w:rsidRDefault="007F0741" w:rsidP="007F0741">
            <w:pPr>
              <w:pStyle w:val="ListParagraph"/>
              <w:numPr>
                <w:ilvl w:val="0"/>
                <w:numId w:val="1"/>
              </w:numPr>
              <w:ind w:left="313"/>
              <w:rPr>
                <w:rFonts w:ascii="Arial" w:hAnsi="Arial" w:cs="Arial"/>
              </w:rPr>
            </w:pPr>
            <w:r w:rsidRPr="001C466C">
              <w:rPr>
                <w:rFonts w:ascii="Arial" w:hAnsi="Arial" w:cs="Arial"/>
              </w:rPr>
              <w:t>Saskaņā ar nolikuma 2.6.4.punktu vai pareizi saprasts, ka  apmaksa par pakalpojumu tiek veikta 60 nevis 30 dienu laikā?</w:t>
            </w:r>
          </w:p>
        </w:tc>
        <w:tc>
          <w:tcPr>
            <w:tcW w:w="4678" w:type="dxa"/>
          </w:tcPr>
          <w:p w14:paraId="6ED027A1" w14:textId="77777777" w:rsidR="007F0741" w:rsidRDefault="007F0741" w:rsidP="002D3595">
            <w:pPr>
              <w:pStyle w:val="Default"/>
              <w:ind w:firstLine="320"/>
              <w:jc w:val="both"/>
              <w:rPr>
                <w:rFonts w:ascii="Arial" w:hAnsi="Arial" w:cs="Arial"/>
                <w:color w:val="auto"/>
                <w:sz w:val="22"/>
                <w:szCs w:val="22"/>
                <w:lang w:val="lv-LV"/>
              </w:rPr>
            </w:pPr>
            <w:r>
              <w:rPr>
                <w:rFonts w:ascii="Arial" w:hAnsi="Arial" w:cs="Arial"/>
                <w:color w:val="auto"/>
                <w:sz w:val="22"/>
                <w:szCs w:val="22"/>
                <w:lang w:val="lv-LV"/>
              </w:rPr>
              <w:t>Jā, apmaksai par pakalpojumu noteiktas 60 kalendārās dienas saskaņā ar sarunu procedūras nolikuma 2.6.4.punktu un līguma projekta (sarunu procedūras nolikuma 7.pielikums) 2.5.punktu.</w:t>
            </w:r>
          </w:p>
        </w:tc>
      </w:tr>
      <w:tr w:rsidR="007F0741" w:rsidRPr="007F0741" w14:paraId="28B862DB" w14:textId="77777777" w:rsidTr="002D3595">
        <w:tc>
          <w:tcPr>
            <w:tcW w:w="4399" w:type="dxa"/>
          </w:tcPr>
          <w:p w14:paraId="3D08CBD0" w14:textId="77777777" w:rsidR="007F0741" w:rsidRPr="001C466C" w:rsidRDefault="007F0741" w:rsidP="007F0741">
            <w:pPr>
              <w:pStyle w:val="ListParagraph"/>
              <w:numPr>
                <w:ilvl w:val="0"/>
                <w:numId w:val="1"/>
              </w:numPr>
              <w:ind w:left="313"/>
              <w:rPr>
                <w:rFonts w:ascii="Arial" w:hAnsi="Arial" w:cs="Arial"/>
              </w:rPr>
            </w:pPr>
            <w:r w:rsidRPr="001C466C">
              <w:rPr>
                <w:rFonts w:ascii="Arial" w:hAnsi="Arial" w:cs="Arial"/>
              </w:rPr>
              <w:t>Vai logu platības ir norādītas no abām pusēm vai tās ir vienas puses platības?</w:t>
            </w:r>
          </w:p>
        </w:tc>
        <w:tc>
          <w:tcPr>
            <w:tcW w:w="4678" w:type="dxa"/>
          </w:tcPr>
          <w:p w14:paraId="157FC454" w14:textId="77777777" w:rsidR="007F0741" w:rsidRDefault="007F0741" w:rsidP="002D3595">
            <w:pPr>
              <w:pStyle w:val="Default"/>
              <w:ind w:firstLine="320"/>
              <w:jc w:val="both"/>
              <w:rPr>
                <w:rFonts w:ascii="Arial" w:hAnsi="Arial" w:cs="Arial"/>
                <w:b/>
                <w:bCs/>
                <w:color w:val="auto"/>
                <w:sz w:val="22"/>
                <w:szCs w:val="22"/>
                <w:lang w:val="lv-LV"/>
              </w:rPr>
            </w:pPr>
            <w:r>
              <w:rPr>
                <w:rFonts w:ascii="Arial" w:hAnsi="Arial" w:cs="Arial"/>
                <w:color w:val="auto"/>
                <w:sz w:val="22"/>
                <w:szCs w:val="22"/>
                <w:lang w:val="lv-LV"/>
              </w:rPr>
              <w:t xml:space="preserve">Sarunu procedūras dokumentos logu mazgāšanas pakalpojumam norādīti apjomi </w:t>
            </w:r>
            <w:r>
              <w:rPr>
                <w:rFonts w:ascii="Arial" w:hAnsi="Arial" w:cs="Arial"/>
                <w:b/>
                <w:bCs/>
                <w:color w:val="auto"/>
                <w:sz w:val="22"/>
                <w:szCs w:val="22"/>
                <w:lang w:val="lv-LV"/>
              </w:rPr>
              <w:t>no abām pusēm.</w:t>
            </w:r>
          </w:p>
          <w:p w14:paraId="619B9538" w14:textId="77777777" w:rsidR="007F0741" w:rsidRPr="006D5141" w:rsidRDefault="007F0741" w:rsidP="002D3595">
            <w:pPr>
              <w:pStyle w:val="Default"/>
              <w:ind w:firstLine="320"/>
              <w:jc w:val="both"/>
              <w:rPr>
                <w:rFonts w:ascii="Arial" w:hAnsi="Arial" w:cs="Arial"/>
                <w:color w:val="auto"/>
                <w:sz w:val="22"/>
                <w:szCs w:val="22"/>
                <w:lang w:val="lv-LV"/>
              </w:rPr>
            </w:pPr>
            <w:r>
              <w:rPr>
                <w:rFonts w:ascii="Arial" w:hAnsi="Arial" w:cs="Arial"/>
                <w:color w:val="auto"/>
                <w:sz w:val="22"/>
                <w:szCs w:val="22"/>
                <w:lang w:val="lv-LV"/>
              </w:rPr>
              <w:t xml:space="preserve">Vienlaikus pasūtītājs vērš uzmanību, ka saskaņā ar sarunu procedūras nolikumu pasūtītājs </w:t>
            </w:r>
            <w:r w:rsidRPr="009407AA">
              <w:rPr>
                <w:rFonts w:ascii="Arial" w:hAnsi="Arial" w:cs="Arial"/>
                <w:b/>
                <w:bCs/>
                <w:color w:val="auto"/>
                <w:sz w:val="22"/>
                <w:szCs w:val="22"/>
                <w:lang w:val="lv-LV"/>
              </w:rPr>
              <w:t>patur tiesības neizmantot sarunu procedūras dokumentos norādīto apjomu</w:t>
            </w:r>
            <w:r>
              <w:rPr>
                <w:rFonts w:ascii="Arial" w:hAnsi="Arial" w:cs="Arial"/>
                <w:color w:val="auto"/>
                <w:sz w:val="22"/>
                <w:szCs w:val="22"/>
                <w:lang w:val="lv-LV"/>
              </w:rPr>
              <w:t xml:space="preserve"> (skat. nolikuma 2.6.3.punktā iekļauto atrunu, kā arī attiecībā uz logu mazgāšanas pakalpojumu finanšu piedāvājuma (sarunu procedūras nolikuma 3.pielikums) sadaļas nosaukumam “</w:t>
            </w:r>
            <w:r w:rsidRPr="003A136D">
              <w:rPr>
                <w:rFonts w:ascii="Arial" w:hAnsi="Arial" w:cs="Arial"/>
                <w:i/>
                <w:iCs/>
                <w:color w:val="auto"/>
                <w:sz w:val="22"/>
                <w:szCs w:val="22"/>
                <w:lang w:val="lv-LV"/>
              </w:rPr>
              <w:t xml:space="preserve">Finanšu aprēķins (Finanšu </w:t>
            </w:r>
            <w:r w:rsidRPr="003A136D">
              <w:rPr>
                <w:rFonts w:ascii="Arial" w:hAnsi="Arial" w:cs="Arial"/>
                <w:i/>
                <w:iCs/>
                <w:color w:val="auto"/>
                <w:sz w:val="22"/>
                <w:szCs w:val="22"/>
                <w:lang w:val="lv-LV"/>
              </w:rPr>
              <w:lastRenderedPageBreak/>
              <w:t>piedāvājums) telpu uzkopšanas Pakalpojumam Nr.2 (telpu uzkopšanas pakalpojums pēc pieprasījuma)</w:t>
            </w:r>
            <w:r>
              <w:rPr>
                <w:rFonts w:ascii="Arial" w:hAnsi="Arial" w:cs="Arial"/>
                <w:i/>
                <w:iCs/>
                <w:color w:val="auto"/>
                <w:sz w:val="22"/>
                <w:szCs w:val="22"/>
                <w:lang w:val="lv-LV"/>
              </w:rPr>
              <w:t xml:space="preserve">” </w:t>
            </w:r>
            <w:r w:rsidRPr="003A136D">
              <w:rPr>
                <w:rFonts w:ascii="Arial" w:hAnsi="Arial" w:cs="Arial"/>
                <w:color w:val="auto"/>
                <w:sz w:val="22"/>
                <w:szCs w:val="22"/>
                <w:lang w:val="lv-LV"/>
              </w:rPr>
              <w:t>pievienoto</w:t>
            </w:r>
            <w:r>
              <w:rPr>
                <w:rFonts w:ascii="Arial" w:hAnsi="Arial" w:cs="Arial"/>
                <w:color w:val="auto"/>
                <w:sz w:val="22"/>
                <w:szCs w:val="22"/>
                <w:lang w:val="lv-LV"/>
              </w:rPr>
              <w:t xml:space="preserve"> zemsvītras piezīmi un tabulas 4.ailei “Apjoms” un 6.ailei “Cena EUR (bez PVN) par 12 mēnešu pakalpojuma izmaksām” pievienoto piezīmi.</w:t>
            </w:r>
          </w:p>
        </w:tc>
      </w:tr>
      <w:tr w:rsidR="007F0741" w:rsidRPr="007F0741" w14:paraId="374F263A" w14:textId="77777777" w:rsidTr="002D3595">
        <w:tc>
          <w:tcPr>
            <w:tcW w:w="4399" w:type="dxa"/>
          </w:tcPr>
          <w:p w14:paraId="44B53969" w14:textId="77777777" w:rsidR="007F0741" w:rsidRPr="001C466C" w:rsidRDefault="007F0741" w:rsidP="007F0741">
            <w:pPr>
              <w:pStyle w:val="ListParagraph"/>
              <w:numPr>
                <w:ilvl w:val="0"/>
                <w:numId w:val="1"/>
              </w:numPr>
              <w:ind w:left="313"/>
              <w:contextualSpacing/>
              <w:rPr>
                <w:rFonts w:ascii="Arial" w:hAnsi="Arial" w:cs="Arial"/>
              </w:rPr>
            </w:pPr>
            <w:r w:rsidRPr="001C466C">
              <w:rPr>
                <w:rFonts w:ascii="Arial" w:hAnsi="Arial" w:cs="Arial"/>
              </w:rPr>
              <w:lastRenderedPageBreak/>
              <w:t>Visbiežāk logu mazgāšanu veic 2x gadā – vai būtu iespējams precizēt regularitāti pēc kuras jānorāda gala summa pielikumā Nr.3 sadaļā pie Pakalpojuma Nr.2 12 mēnešu periodam? Tā kā tas ir viens no kritērijiem, tad tas būtiski var ietekmēt rezultātus, jo netiek vērtēta katra vienības cena, bet gan to kopsumma.</w:t>
            </w:r>
          </w:p>
        </w:tc>
        <w:tc>
          <w:tcPr>
            <w:tcW w:w="4678" w:type="dxa"/>
          </w:tcPr>
          <w:p w14:paraId="7768406A" w14:textId="77777777" w:rsidR="007F0741" w:rsidRDefault="007F0741" w:rsidP="002D3595">
            <w:pPr>
              <w:pStyle w:val="Default"/>
              <w:ind w:firstLine="320"/>
              <w:jc w:val="both"/>
              <w:rPr>
                <w:rFonts w:ascii="Arial" w:hAnsi="Arial" w:cs="Arial"/>
                <w:color w:val="auto"/>
                <w:sz w:val="22"/>
                <w:szCs w:val="22"/>
                <w:lang w:val="lv-LV"/>
              </w:rPr>
            </w:pPr>
            <w:r>
              <w:rPr>
                <w:rFonts w:ascii="Arial" w:hAnsi="Arial" w:cs="Arial"/>
                <w:color w:val="auto"/>
                <w:sz w:val="22"/>
                <w:szCs w:val="22"/>
                <w:lang w:val="lv-LV"/>
              </w:rPr>
              <w:t xml:space="preserve">Piedāvājums jāiesniedz </w:t>
            </w:r>
            <w:r w:rsidRPr="004D0CA2">
              <w:rPr>
                <w:rFonts w:ascii="Arial" w:hAnsi="Arial" w:cs="Arial"/>
                <w:b/>
                <w:bCs/>
                <w:color w:val="auto"/>
                <w:sz w:val="22"/>
                <w:szCs w:val="22"/>
                <w:lang w:val="lv-LV"/>
              </w:rPr>
              <w:t>apjomam, kāds ir norādīts finanšu piedāvājuma formā</w:t>
            </w:r>
            <w:r>
              <w:rPr>
                <w:rFonts w:ascii="Arial" w:hAnsi="Arial" w:cs="Arial"/>
                <w:color w:val="auto"/>
                <w:sz w:val="22"/>
                <w:szCs w:val="22"/>
                <w:lang w:val="lv-LV"/>
              </w:rPr>
              <w:t xml:space="preserve"> (sarunu procedūras nolikuma 3.pielikums).</w:t>
            </w:r>
          </w:p>
          <w:p w14:paraId="757C2973" w14:textId="77777777" w:rsidR="007F0741" w:rsidRDefault="007F0741" w:rsidP="002D3595">
            <w:pPr>
              <w:pStyle w:val="Default"/>
              <w:ind w:firstLine="320"/>
              <w:jc w:val="both"/>
              <w:rPr>
                <w:rFonts w:ascii="Arial" w:hAnsi="Arial" w:cs="Arial"/>
                <w:color w:val="auto"/>
                <w:sz w:val="22"/>
                <w:szCs w:val="22"/>
                <w:lang w:val="lv-LV"/>
              </w:rPr>
            </w:pPr>
            <w:r>
              <w:rPr>
                <w:rFonts w:ascii="Arial" w:hAnsi="Arial" w:cs="Arial"/>
                <w:color w:val="auto"/>
                <w:sz w:val="22"/>
                <w:szCs w:val="22"/>
                <w:lang w:val="lv-LV"/>
              </w:rPr>
              <w:t>Papildus Pasūtītājs paskaidro, ka logu mazgāšanas pakalpojums jāveic pēc pasūtītāja pieprasījuma atbilstoši faktiskajai nepieciešamībai.</w:t>
            </w:r>
          </w:p>
        </w:tc>
      </w:tr>
      <w:tr w:rsidR="007F0741" w:rsidRPr="001D04A8" w14:paraId="04825097" w14:textId="77777777" w:rsidTr="002D3595">
        <w:tc>
          <w:tcPr>
            <w:tcW w:w="4399" w:type="dxa"/>
          </w:tcPr>
          <w:p w14:paraId="727A45E0" w14:textId="77777777" w:rsidR="007F0741" w:rsidRPr="001C466C" w:rsidRDefault="007F0741" w:rsidP="007F0741">
            <w:pPr>
              <w:pStyle w:val="ListParagraph"/>
              <w:numPr>
                <w:ilvl w:val="0"/>
                <w:numId w:val="1"/>
              </w:numPr>
              <w:ind w:left="313"/>
              <w:rPr>
                <w:rFonts w:ascii="Arial" w:hAnsi="Arial" w:cs="Arial"/>
              </w:rPr>
            </w:pPr>
            <w:r w:rsidRPr="001C466C">
              <w:rPr>
                <w:rFonts w:ascii="Arial" w:hAnsi="Arial" w:cs="Arial"/>
              </w:rPr>
              <w:t>Vai EDLUS ir kādi konkrēti kritēriji kādai tieši jābūt šai sistēmai? Piemēram, vai sistēmai jābūt mobilajos telefonos vai arī stundas var uzskaitīt ar ieejas čipu sistēmām?</w:t>
            </w:r>
          </w:p>
        </w:tc>
        <w:tc>
          <w:tcPr>
            <w:tcW w:w="4678" w:type="dxa"/>
          </w:tcPr>
          <w:p w14:paraId="57D7952A" w14:textId="77777777" w:rsidR="007F0741" w:rsidRPr="009D10E8" w:rsidRDefault="007F0741" w:rsidP="002D3595">
            <w:pPr>
              <w:pStyle w:val="Default"/>
              <w:ind w:firstLine="320"/>
              <w:jc w:val="both"/>
              <w:rPr>
                <w:rFonts w:ascii="Arial" w:hAnsi="Arial" w:cs="Arial"/>
                <w:color w:val="auto"/>
                <w:sz w:val="22"/>
                <w:szCs w:val="22"/>
                <w:lang w:val="lv-LV"/>
              </w:rPr>
            </w:pPr>
            <w:r w:rsidRPr="009D10E8">
              <w:rPr>
                <w:rFonts w:ascii="Arial" w:hAnsi="Arial" w:cs="Arial"/>
                <w:color w:val="auto"/>
                <w:sz w:val="22"/>
                <w:szCs w:val="22"/>
                <w:lang w:val="lv-LV"/>
              </w:rPr>
              <w:t>Uzskaites sistēma var būt gan sistēma telefonos, gan sistēma ar ieejas viedkartēm.</w:t>
            </w:r>
          </w:p>
        </w:tc>
      </w:tr>
    </w:tbl>
    <w:p w14:paraId="404F2C26" w14:textId="77777777" w:rsidR="00112653" w:rsidRPr="001D04A8" w:rsidRDefault="00112653" w:rsidP="00BA65A1">
      <w:pPr>
        <w:rPr>
          <w:lang w:val="lv-LV"/>
        </w:rPr>
      </w:pPr>
    </w:p>
    <w:sectPr w:rsidR="00112653" w:rsidRPr="001D04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4CE2"/>
    <w:multiLevelType w:val="hybridMultilevel"/>
    <w:tmpl w:val="C0CE3B52"/>
    <w:lvl w:ilvl="0" w:tplc="8758ACC6">
      <w:start w:val="2021"/>
      <w:numFmt w:val="bullet"/>
      <w:lvlText w:val=""/>
      <w:lvlJc w:val="left"/>
      <w:pPr>
        <w:ind w:left="720" w:hanging="360"/>
      </w:pPr>
      <w:rPr>
        <w:rFonts w:ascii="Wingdings" w:eastAsiaTheme="minorHAnsi" w:hAnsi="Wingdings"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174603"/>
    <w:multiLevelType w:val="hybridMultilevel"/>
    <w:tmpl w:val="40D240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A1"/>
    <w:rsid w:val="00112653"/>
    <w:rsid w:val="001647DE"/>
    <w:rsid w:val="00191E6A"/>
    <w:rsid w:val="001D04A8"/>
    <w:rsid w:val="00273E45"/>
    <w:rsid w:val="002D30A7"/>
    <w:rsid w:val="003A136D"/>
    <w:rsid w:val="004304FF"/>
    <w:rsid w:val="00440F82"/>
    <w:rsid w:val="004D0CA2"/>
    <w:rsid w:val="00571CFA"/>
    <w:rsid w:val="005B1BD8"/>
    <w:rsid w:val="00624CF7"/>
    <w:rsid w:val="00692B22"/>
    <w:rsid w:val="006D5141"/>
    <w:rsid w:val="007A58A1"/>
    <w:rsid w:val="007F0741"/>
    <w:rsid w:val="00814AB2"/>
    <w:rsid w:val="008330D1"/>
    <w:rsid w:val="009407AA"/>
    <w:rsid w:val="009D10E8"/>
    <w:rsid w:val="00AB6C0E"/>
    <w:rsid w:val="00B20463"/>
    <w:rsid w:val="00BA65A1"/>
    <w:rsid w:val="00C015B6"/>
    <w:rsid w:val="00CB291E"/>
    <w:rsid w:val="00D71942"/>
    <w:rsid w:val="00D81CB4"/>
    <w:rsid w:val="00DD2D30"/>
    <w:rsid w:val="00E12FF4"/>
    <w:rsid w:val="00F4153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9B96"/>
  <w15:chartTrackingRefBased/>
  <w15:docId w15:val="{032959EF-3F05-4220-A4C9-4BB512C4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53"/>
    <w:pPr>
      <w:spacing w:after="0" w:line="240" w:lineRule="auto"/>
    </w:pPr>
    <w:rPr>
      <w:rFonts w:ascii="Times New Roman" w:eastAsia="Times New Roman" w:hAnsi="Times New Roman" w:cs="Times New Roman"/>
      <w:sz w:val="20"/>
      <w:szCs w:val="20"/>
      <w:lang w:val="en-US"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2653"/>
    <w:pPr>
      <w:autoSpaceDE w:val="0"/>
      <w:autoSpaceDN w:val="0"/>
      <w:adjustRightInd w:val="0"/>
      <w:spacing w:after="0" w:line="240" w:lineRule="auto"/>
    </w:pPr>
    <w:rPr>
      <w:rFonts w:ascii="Times New Roman" w:hAnsi="Times New Roman" w:cs="Times New Roman"/>
      <w:color w:val="000000"/>
      <w:sz w:val="24"/>
      <w:szCs w:val="24"/>
      <w:lang w:val="en-US" w:bidi="ar-SA"/>
    </w:rPr>
  </w:style>
  <w:style w:type="table" w:styleId="TableGrid">
    <w:name w:val="Table Grid"/>
    <w:aliases w:val="CV table"/>
    <w:basedOn w:val="TableNormal"/>
    <w:uiPriority w:val="39"/>
    <w:rsid w:val="0011265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1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942"/>
    <w:rPr>
      <w:rFonts w:ascii="Segoe UI" w:eastAsia="Times New Roman" w:hAnsi="Segoe UI" w:cs="Segoe UI"/>
      <w:sz w:val="18"/>
      <w:szCs w:val="18"/>
      <w:lang w:val="en-US" w:eastAsia="lv-LV"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4304FF"/>
    <w:pPr>
      <w:ind w:left="720"/>
    </w:pPr>
    <w:rPr>
      <w:rFonts w:ascii="Calibri" w:eastAsiaTheme="minorHAnsi" w:hAnsi="Calibri" w:cs="Calibri"/>
      <w:sz w:val="22"/>
      <w:szCs w:val="22"/>
      <w:lang w:val="lv-LV" w:eastAsia="en-US" w:bidi="lo-LA"/>
    </w:rPr>
  </w:style>
  <w:style w:type="character" w:styleId="Emphasis">
    <w:name w:val="Emphasis"/>
    <w:basedOn w:val="DefaultParagraphFont"/>
    <w:uiPriority w:val="20"/>
    <w:qFormat/>
    <w:rsid w:val="004304FF"/>
    <w:rPr>
      <w:i/>
      <w:iCs/>
    </w:rPr>
  </w:style>
  <w:style w:type="character" w:styleId="CommentReference">
    <w:name w:val="annotation reference"/>
    <w:basedOn w:val="DefaultParagraphFont"/>
    <w:uiPriority w:val="99"/>
    <w:semiHidden/>
    <w:unhideWhenUsed/>
    <w:rsid w:val="003A136D"/>
    <w:rPr>
      <w:sz w:val="16"/>
      <w:szCs w:val="16"/>
    </w:rPr>
  </w:style>
  <w:style w:type="paragraph" w:styleId="CommentText">
    <w:name w:val="annotation text"/>
    <w:basedOn w:val="Normal"/>
    <w:link w:val="CommentTextChar"/>
    <w:uiPriority w:val="99"/>
    <w:semiHidden/>
    <w:unhideWhenUsed/>
    <w:rsid w:val="003A136D"/>
    <w:rPr>
      <w:rFonts w:ascii="Arial" w:hAnsi="Arial"/>
      <w:lang w:val="lv-LV"/>
    </w:rPr>
  </w:style>
  <w:style w:type="character" w:customStyle="1" w:styleId="CommentTextChar">
    <w:name w:val="Comment Text Char"/>
    <w:basedOn w:val="DefaultParagraphFont"/>
    <w:link w:val="CommentText"/>
    <w:uiPriority w:val="99"/>
    <w:semiHidden/>
    <w:rsid w:val="003A136D"/>
    <w:rPr>
      <w:rFonts w:ascii="Arial" w:eastAsia="Times New Roman" w:hAnsi="Arial" w:cs="Times New Roman"/>
      <w:sz w:val="20"/>
      <w:szCs w:val="20"/>
      <w:lang w:eastAsia="lv-LV" w:bidi="ar-SA"/>
    </w:rPr>
  </w:style>
  <w:style w:type="paragraph" w:styleId="CommentSubject">
    <w:name w:val="annotation subject"/>
    <w:basedOn w:val="CommentText"/>
    <w:next w:val="CommentText"/>
    <w:link w:val="CommentSubjectChar"/>
    <w:uiPriority w:val="99"/>
    <w:semiHidden/>
    <w:unhideWhenUsed/>
    <w:rsid w:val="003A136D"/>
    <w:rPr>
      <w:b/>
      <w:bCs/>
    </w:rPr>
  </w:style>
  <w:style w:type="character" w:customStyle="1" w:styleId="CommentSubjectChar">
    <w:name w:val="Comment Subject Char"/>
    <w:basedOn w:val="CommentTextChar"/>
    <w:link w:val="CommentSubject"/>
    <w:uiPriority w:val="99"/>
    <w:semiHidden/>
    <w:rsid w:val="003A136D"/>
    <w:rPr>
      <w:rFonts w:ascii="Arial" w:eastAsia="Times New Roman" w:hAnsi="Arial" w:cs="Times New Roman"/>
      <w:b/>
      <w:bCs/>
      <w:sz w:val="20"/>
      <w:szCs w:val="20"/>
      <w:lang w:eastAsia="lv-LV" w:bidi="ar-SA"/>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7F074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03">
      <w:bodyDiv w:val="1"/>
      <w:marLeft w:val="0"/>
      <w:marRight w:val="0"/>
      <w:marTop w:val="0"/>
      <w:marBottom w:val="0"/>
      <w:divBdr>
        <w:top w:val="none" w:sz="0" w:space="0" w:color="auto"/>
        <w:left w:val="none" w:sz="0" w:space="0" w:color="auto"/>
        <w:bottom w:val="none" w:sz="0" w:space="0" w:color="auto"/>
        <w:right w:val="none" w:sz="0" w:space="0" w:color="auto"/>
      </w:divBdr>
    </w:div>
    <w:div w:id="399836565">
      <w:bodyDiv w:val="1"/>
      <w:marLeft w:val="0"/>
      <w:marRight w:val="0"/>
      <w:marTop w:val="0"/>
      <w:marBottom w:val="0"/>
      <w:divBdr>
        <w:top w:val="none" w:sz="0" w:space="0" w:color="auto"/>
        <w:left w:val="none" w:sz="0" w:space="0" w:color="auto"/>
        <w:bottom w:val="none" w:sz="0" w:space="0" w:color="auto"/>
        <w:right w:val="none" w:sz="0" w:space="0" w:color="auto"/>
      </w:divBdr>
    </w:div>
    <w:div w:id="1026055038">
      <w:bodyDiv w:val="1"/>
      <w:marLeft w:val="0"/>
      <w:marRight w:val="0"/>
      <w:marTop w:val="0"/>
      <w:marBottom w:val="0"/>
      <w:divBdr>
        <w:top w:val="none" w:sz="0" w:space="0" w:color="auto"/>
        <w:left w:val="none" w:sz="0" w:space="0" w:color="auto"/>
        <w:bottom w:val="none" w:sz="0" w:space="0" w:color="auto"/>
        <w:right w:val="none" w:sz="0" w:space="0" w:color="auto"/>
      </w:divBdr>
    </w:div>
    <w:div w:id="1085615298">
      <w:bodyDiv w:val="1"/>
      <w:marLeft w:val="0"/>
      <w:marRight w:val="0"/>
      <w:marTop w:val="0"/>
      <w:marBottom w:val="0"/>
      <w:divBdr>
        <w:top w:val="none" w:sz="0" w:space="0" w:color="auto"/>
        <w:left w:val="none" w:sz="0" w:space="0" w:color="auto"/>
        <w:bottom w:val="none" w:sz="0" w:space="0" w:color="auto"/>
        <w:right w:val="none" w:sz="0" w:space="0" w:color="auto"/>
      </w:divBdr>
    </w:div>
    <w:div w:id="1500851075">
      <w:bodyDiv w:val="1"/>
      <w:marLeft w:val="0"/>
      <w:marRight w:val="0"/>
      <w:marTop w:val="0"/>
      <w:marBottom w:val="0"/>
      <w:divBdr>
        <w:top w:val="none" w:sz="0" w:space="0" w:color="auto"/>
        <w:left w:val="none" w:sz="0" w:space="0" w:color="auto"/>
        <w:bottom w:val="none" w:sz="0" w:space="0" w:color="auto"/>
        <w:right w:val="none" w:sz="0" w:space="0" w:color="auto"/>
      </w:divBdr>
    </w:div>
    <w:div w:id="1596358250">
      <w:bodyDiv w:val="1"/>
      <w:marLeft w:val="0"/>
      <w:marRight w:val="0"/>
      <w:marTop w:val="0"/>
      <w:marBottom w:val="0"/>
      <w:divBdr>
        <w:top w:val="none" w:sz="0" w:space="0" w:color="auto"/>
        <w:left w:val="none" w:sz="0" w:space="0" w:color="auto"/>
        <w:bottom w:val="none" w:sz="0" w:space="0" w:color="auto"/>
        <w:right w:val="none" w:sz="0" w:space="0" w:color="auto"/>
      </w:divBdr>
    </w:div>
    <w:div w:id="1724449732">
      <w:bodyDiv w:val="1"/>
      <w:marLeft w:val="0"/>
      <w:marRight w:val="0"/>
      <w:marTop w:val="0"/>
      <w:marBottom w:val="0"/>
      <w:divBdr>
        <w:top w:val="none" w:sz="0" w:space="0" w:color="auto"/>
        <w:left w:val="none" w:sz="0" w:space="0" w:color="auto"/>
        <w:bottom w:val="none" w:sz="0" w:space="0" w:color="auto"/>
        <w:right w:val="none" w:sz="0" w:space="0" w:color="auto"/>
      </w:divBdr>
    </w:div>
    <w:div w:id="21241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2219</Words>
  <Characters>1265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6</cp:revision>
  <dcterms:created xsi:type="dcterms:W3CDTF">2021-06-15T09:28:00Z</dcterms:created>
  <dcterms:modified xsi:type="dcterms:W3CDTF">2021-06-15T11:11:00Z</dcterms:modified>
</cp:coreProperties>
</file>