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7E96" w14:textId="77777777" w:rsidR="00E03057" w:rsidRPr="008951BD" w:rsidRDefault="00E03057" w:rsidP="00E03057">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03A71C5C" w14:textId="13F4E740" w:rsidR="00E03057" w:rsidRPr="008951BD" w:rsidRDefault="00E03057" w:rsidP="00E03057">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Pr>
          <w:rFonts w:eastAsia="Arial Unicode MS"/>
          <w:i/>
          <w:szCs w:val="24"/>
          <w:lang w:eastAsia="lv-LV"/>
        </w:rPr>
        <w:t>10</w:t>
      </w:r>
      <w:r w:rsidRPr="008951BD">
        <w:rPr>
          <w:rFonts w:eastAsia="Arial Unicode MS"/>
          <w:i/>
          <w:szCs w:val="24"/>
          <w:lang w:eastAsia="lv-LV"/>
        </w:rPr>
        <w:t>.</w:t>
      </w:r>
      <w:r>
        <w:rPr>
          <w:rFonts w:eastAsia="Arial Unicode MS"/>
          <w:i/>
          <w:szCs w:val="24"/>
          <w:lang w:eastAsia="lv-LV"/>
        </w:rPr>
        <w:t>novembr</w:t>
      </w:r>
      <w:r w:rsidRPr="008951BD">
        <w:rPr>
          <w:rFonts w:eastAsia="Arial Unicode MS"/>
          <w:i/>
          <w:szCs w:val="24"/>
          <w:lang w:eastAsia="lv-LV"/>
        </w:rPr>
        <w:t xml:space="preserve">a </w:t>
      </w:r>
    </w:p>
    <w:p w14:paraId="3CF79D0F" w14:textId="16A71480" w:rsidR="00E03057" w:rsidRDefault="00E03057" w:rsidP="00E03057">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4</w:t>
      </w:r>
    </w:p>
    <w:p w14:paraId="025125AA" w14:textId="77777777" w:rsidR="00E03057" w:rsidRDefault="00E03057" w:rsidP="00E03057">
      <w:pPr>
        <w:rPr>
          <w:rFonts w:ascii="Arial" w:hAnsi="Arial" w:cs="Arial"/>
        </w:rPr>
      </w:pPr>
    </w:p>
    <w:p w14:paraId="3270F2AB" w14:textId="11D3425D" w:rsidR="0098236C" w:rsidRDefault="0098236C">
      <w:pPr>
        <w:rPr>
          <w:rFonts w:ascii="Arial" w:hAnsi="Arial" w:cs="Arial"/>
        </w:rPr>
      </w:pPr>
    </w:p>
    <w:p w14:paraId="1CE52122" w14:textId="77777777" w:rsidR="00E03057" w:rsidRPr="00FC13C4" w:rsidRDefault="00E03057" w:rsidP="00E03057">
      <w:pPr>
        <w:jc w:val="center"/>
        <w:rPr>
          <w:b/>
        </w:rPr>
      </w:pPr>
      <w:r w:rsidRPr="00FC13C4">
        <w:rPr>
          <w:b/>
        </w:rPr>
        <w:t>VAS </w:t>
      </w:r>
      <w:r w:rsidRPr="00FC13C4">
        <w:rPr>
          <w:b/>
          <w:color w:val="222222"/>
        </w:rPr>
        <w:t>„</w:t>
      </w:r>
      <w:r w:rsidRPr="00FC13C4">
        <w:rPr>
          <w:b/>
        </w:rPr>
        <w:t xml:space="preserve">Latvijas dzelzceļš” </w:t>
      </w:r>
    </w:p>
    <w:p w14:paraId="1D34E634" w14:textId="77777777" w:rsidR="00E03057" w:rsidRPr="00FC13C4" w:rsidRDefault="00E03057" w:rsidP="00E03057">
      <w:pPr>
        <w:ind w:left="142" w:right="-1"/>
        <w:jc w:val="center"/>
        <w:rPr>
          <w:b/>
        </w:rPr>
      </w:pPr>
      <w:r w:rsidRPr="00FC13C4">
        <w:rPr>
          <w:b/>
        </w:rPr>
        <w:t>sarunu procedūras ar publikāciju</w:t>
      </w:r>
    </w:p>
    <w:p w14:paraId="11700BFF" w14:textId="77777777" w:rsidR="00E03057" w:rsidRPr="00C766E3" w:rsidRDefault="00E03057" w:rsidP="00E03057">
      <w:pPr>
        <w:jc w:val="center"/>
        <w:rPr>
          <w:b/>
          <w:bCs/>
        </w:rPr>
      </w:pPr>
      <w:r w:rsidRPr="00FC13C4">
        <w:rPr>
          <w:b/>
          <w:bCs/>
          <w:color w:val="222222"/>
        </w:rPr>
        <w:t>„</w:t>
      </w:r>
      <w:r w:rsidRPr="00FC13C4">
        <w:rPr>
          <w:b/>
          <w:bCs/>
        </w:rPr>
        <w:t xml:space="preserve">Informatīvā zvanu centra pakalpojuma nodrošināšana jautājumos par pasažieru vilcienu kustību un VAS </w:t>
      </w:r>
      <w:r w:rsidRPr="00FC13C4">
        <w:rPr>
          <w:b/>
          <w:bCs/>
          <w:color w:val="222222"/>
        </w:rPr>
        <w:t>„</w:t>
      </w:r>
      <w:r w:rsidRPr="00C766E3">
        <w:rPr>
          <w:b/>
          <w:bCs/>
        </w:rPr>
        <w:t>Latvijas dzelzceļš” sniegtajiem pakalpojumiem ”</w:t>
      </w:r>
    </w:p>
    <w:p w14:paraId="1288E478" w14:textId="77777777" w:rsidR="00E03057" w:rsidRPr="00FC13C4" w:rsidRDefault="00E03057" w:rsidP="00E03057">
      <w:pPr>
        <w:jc w:val="center"/>
        <w:rPr>
          <w:rFonts w:eastAsia="Calibri"/>
        </w:rPr>
      </w:pPr>
      <w:r w:rsidRPr="00C766E3">
        <w:rPr>
          <w:rFonts w:eastAsia="Calibri"/>
        </w:rPr>
        <w:t>(turpmāk – sarunu procedūra)</w:t>
      </w:r>
    </w:p>
    <w:p w14:paraId="28B1973A" w14:textId="77777777" w:rsidR="00E03057" w:rsidRPr="00FC13C4" w:rsidRDefault="00E03057" w:rsidP="00E03057">
      <w:pPr>
        <w:ind w:left="284" w:right="282"/>
        <w:rPr>
          <w:rFonts w:eastAsia="Calibri"/>
        </w:rPr>
      </w:pPr>
    </w:p>
    <w:p w14:paraId="4003586C" w14:textId="77777777" w:rsidR="00E03057" w:rsidRPr="00FC13C4" w:rsidRDefault="00E03057" w:rsidP="00E03057">
      <w:pPr>
        <w:ind w:left="284" w:right="282"/>
        <w:jc w:val="center"/>
        <w:rPr>
          <w:rFonts w:eastAsia="Calibri"/>
          <w:b/>
        </w:rPr>
      </w:pPr>
      <w:r w:rsidRPr="00FC13C4">
        <w:rPr>
          <w:rFonts w:eastAsia="Calibri"/>
          <w:b/>
        </w:rPr>
        <w:t>Skaidrojums Nr.</w:t>
      </w:r>
      <w:r>
        <w:rPr>
          <w:rFonts w:eastAsia="Calibri"/>
          <w:b/>
        </w:rPr>
        <w:t>3</w:t>
      </w:r>
    </w:p>
    <w:p w14:paraId="5B640498" w14:textId="77777777" w:rsidR="00E03057" w:rsidRPr="00DA0B23" w:rsidRDefault="00E03057" w:rsidP="00E03057">
      <w:pPr>
        <w:ind w:right="282"/>
        <w:rPr>
          <w:rFonts w:eastAsia="Calibri"/>
          <w:b/>
          <w:highlight w:val="yellow"/>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076"/>
        <w:gridCol w:w="5528"/>
      </w:tblGrid>
      <w:tr w:rsidR="00E03057" w:rsidRPr="00E745DE" w14:paraId="426B3033" w14:textId="77777777" w:rsidTr="00E03057">
        <w:trPr>
          <w:trHeight w:val="655"/>
        </w:trPr>
        <w:tc>
          <w:tcPr>
            <w:tcW w:w="603" w:type="dxa"/>
            <w:shd w:val="clear" w:color="auto" w:fill="FFF2CC"/>
            <w:vAlign w:val="center"/>
          </w:tcPr>
          <w:p w14:paraId="2711217F" w14:textId="77777777" w:rsidR="00E03057" w:rsidRPr="00E745DE" w:rsidRDefault="00E03057" w:rsidP="002F6CC9">
            <w:pPr>
              <w:jc w:val="center"/>
              <w:rPr>
                <w:rFonts w:eastAsia="Calibri"/>
                <w:b/>
              </w:rPr>
            </w:pPr>
            <w:r w:rsidRPr="00E745DE">
              <w:rPr>
                <w:rFonts w:eastAsia="Calibri"/>
                <w:b/>
              </w:rPr>
              <w:t>Nr.</w:t>
            </w:r>
          </w:p>
          <w:p w14:paraId="573EDCA7" w14:textId="77777777" w:rsidR="00E03057" w:rsidRPr="00E745DE" w:rsidRDefault="00E03057" w:rsidP="002F6CC9">
            <w:pPr>
              <w:jc w:val="center"/>
              <w:rPr>
                <w:rFonts w:eastAsia="Calibri"/>
                <w:b/>
              </w:rPr>
            </w:pPr>
            <w:r w:rsidRPr="00E745DE">
              <w:rPr>
                <w:rFonts w:eastAsia="Calibri"/>
                <w:b/>
              </w:rPr>
              <w:t>p.k.</w:t>
            </w:r>
          </w:p>
        </w:tc>
        <w:tc>
          <w:tcPr>
            <w:tcW w:w="4076" w:type="dxa"/>
            <w:shd w:val="clear" w:color="auto" w:fill="FFF2CC"/>
            <w:vAlign w:val="center"/>
          </w:tcPr>
          <w:p w14:paraId="21A3D281" w14:textId="77777777" w:rsidR="00E03057" w:rsidRPr="00E745DE" w:rsidRDefault="00E03057" w:rsidP="002F6CC9">
            <w:pPr>
              <w:jc w:val="center"/>
              <w:rPr>
                <w:rFonts w:eastAsia="Calibri"/>
                <w:b/>
                <w:i/>
              </w:rPr>
            </w:pPr>
            <w:r w:rsidRPr="00E745DE">
              <w:rPr>
                <w:rFonts w:eastAsia="Calibri"/>
                <w:b/>
                <w:i/>
              </w:rPr>
              <w:t>Jautājums</w:t>
            </w:r>
          </w:p>
        </w:tc>
        <w:tc>
          <w:tcPr>
            <w:tcW w:w="5528" w:type="dxa"/>
            <w:shd w:val="clear" w:color="auto" w:fill="FFF2CC"/>
            <w:vAlign w:val="center"/>
          </w:tcPr>
          <w:p w14:paraId="24CF5E8E" w14:textId="77777777" w:rsidR="00E03057" w:rsidRPr="00E745DE" w:rsidRDefault="00E03057" w:rsidP="002F6CC9">
            <w:pPr>
              <w:jc w:val="center"/>
              <w:rPr>
                <w:rFonts w:eastAsia="Calibri"/>
                <w:b/>
                <w:i/>
              </w:rPr>
            </w:pPr>
            <w:r w:rsidRPr="00E745DE">
              <w:rPr>
                <w:rFonts w:eastAsia="Calibri"/>
                <w:b/>
                <w:i/>
              </w:rPr>
              <w:t>Atbilde</w:t>
            </w:r>
          </w:p>
        </w:tc>
      </w:tr>
      <w:tr w:rsidR="00E03057" w:rsidRPr="00E745DE" w14:paraId="5901AD4C" w14:textId="77777777" w:rsidTr="00E03057">
        <w:trPr>
          <w:trHeight w:val="701"/>
        </w:trPr>
        <w:tc>
          <w:tcPr>
            <w:tcW w:w="603" w:type="dxa"/>
            <w:shd w:val="clear" w:color="auto" w:fill="auto"/>
          </w:tcPr>
          <w:p w14:paraId="2524DA5D" w14:textId="77777777" w:rsidR="00E03057" w:rsidRPr="00E745DE" w:rsidRDefault="00E03057" w:rsidP="002F6CC9">
            <w:pPr>
              <w:jc w:val="center"/>
              <w:rPr>
                <w:rFonts w:eastAsia="Calibri"/>
              </w:rPr>
            </w:pPr>
            <w:r w:rsidRPr="00E745DE">
              <w:rPr>
                <w:rFonts w:eastAsia="Calibri"/>
              </w:rPr>
              <w:t>1.</w:t>
            </w:r>
          </w:p>
        </w:tc>
        <w:tc>
          <w:tcPr>
            <w:tcW w:w="4076" w:type="dxa"/>
            <w:shd w:val="clear" w:color="auto" w:fill="auto"/>
          </w:tcPr>
          <w:p w14:paraId="11D9E05A" w14:textId="77777777" w:rsidR="00E03057" w:rsidRPr="001D2E25" w:rsidRDefault="00E03057" w:rsidP="002F6CC9">
            <w:pPr>
              <w:rPr>
                <w:szCs w:val="24"/>
              </w:rPr>
            </w:pPr>
            <w:r w:rsidRPr="001D2E25">
              <w:rPr>
                <w:szCs w:val="24"/>
              </w:rPr>
              <w:t xml:space="preserve">Vai Jūs varētu, lūdzu, vēl precizēt vai </w:t>
            </w:r>
            <w:r w:rsidRPr="001D2E25">
              <w:t>f</w:t>
            </w:r>
            <w:r w:rsidRPr="001D2E25">
              <w:rPr>
                <w:szCs w:val="24"/>
              </w:rPr>
              <w:t>iksētajā maksā pirmajā mēnesī ir jāiekļauj arī uzsākšanas izmaksas?</w:t>
            </w:r>
          </w:p>
        </w:tc>
        <w:tc>
          <w:tcPr>
            <w:tcW w:w="5528" w:type="dxa"/>
            <w:shd w:val="clear" w:color="auto" w:fill="auto"/>
          </w:tcPr>
          <w:p w14:paraId="6E80A9DE" w14:textId="77777777" w:rsidR="00E03057" w:rsidRPr="001D2E25" w:rsidRDefault="00E03057" w:rsidP="002F6CC9">
            <w:pPr>
              <w:ind w:right="-58"/>
              <w:contextualSpacing/>
              <w:rPr>
                <w:szCs w:val="24"/>
              </w:rPr>
            </w:pPr>
            <w:r w:rsidRPr="001D2E25">
              <w:t>Skaidrojam, ka fiksētajā maksā pirmajam mēnesim ir jāiekļauj arī uzsākšanas izmaksas.</w:t>
            </w:r>
          </w:p>
        </w:tc>
      </w:tr>
      <w:tr w:rsidR="00E03057" w:rsidRPr="00E745DE" w14:paraId="4279B2DA" w14:textId="77777777" w:rsidTr="00E03057">
        <w:trPr>
          <w:trHeight w:val="499"/>
        </w:trPr>
        <w:tc>
          <w:tcPr>
            <w:tcW w:w="603" w:type="dxa"/>
            <w:shd w:val="clear" w:color="auto" w:fill="auto"/>
          </w:tcPr>
          <w:p w14:paraId="30621BFF" w14:textId="77777777" w:rsidR="00E03057" w:rsidRPr="00E745DE" w:rsidRDefault="00E03057" w:rsidP="002F6CC9">
            <w:pPr>
              <w:jc w:val="center"/>
              <w:rPr>
                <w:rFonts w:eastAsia="Calibri"/>
              </w:rPr>
            </w:pPr>
            <w:r w:rsidRPr="00E745DE">
              <w:rPr>
                <w:rFonts w:eastAsia="Calibri"/>
              </w:rPr>
              <w:t>2.</w:t>
            </w:r>
          </w:p>
        </w:tc>
        <w:tc>
          <w:tcPr>
            <w:tcW w:w="4076" w:type="dxa"/>
            <w:shd w:val="clear" w:color="auto" w:fill="auto"/>
          </w:tcPr>
          <w:p w14:paraId="3ED8C1E1" w14:textId="77777777" w:rsidR="00E03057" w:rsidRPr="00890603" w:rsidRDefault="00E03057" w:rsidP="002F6CC9">
            <w:pPr>
              <w:rPr>
                <w:rFonts w:eastAsia="Times New Roman"/>
                <w:szCs w:val="24"/>
              </w:rPr>
            </w:pPr>
            <w:r w:rsidRPr="00890603">
              <w:rPr>
                <w:rFonts w:eastAsia="Times New Roman"/>
                <w:szCs w:val="24"/>
              </w:rPr>
              <w:t>Vai tiešām VAS „Latvijas dzelzceļš” ir arī operators numuram 80021181?</w:t>
            </w:r>
          </w:p>
        </w:tc>
        <w:tc>
          <w:tcPr>
            <w:tcW w:w="5528" w:type="dxa"/>
            <w:shd w:val="clear" w:color="auto" w:fill="auto"/>
          </w:tcPr>
          <w:p w14:paraId="1C92B014" w14:textId="77777777" w:rsidR="00E03057" w:rsidRPr="00890603" w:rsidRDefault="00E03057" w:rsidP="002F6CC9">
            <w:pPr>
              <w:ind w:left="35"/>
              <w:contextualSpacing/>
              <w:rPr>
                <w:szCs w:val="24"/>
                <w:highlight w:val="yellow"/>
              </w:rPr>
            </w:pPr>
            <w:r>
              <w:rPr>
                <w:rFonts w:eastAsia="Times New Roman"/>
              </w:rPr>
              <w:t xml:space="preserve">Skaidrojam, ka </w:t>
            </w:r>
            <w:r w:rsidRPr="00890603">
              <w:rPr>
                <w:rFonts w:eastAsia="Times New Roman"/>
                <w:szCs w:val="24"/>
              </w:rPr>
              <w:t>VAS „Latvijas dzelzceļš” ir operators</w:t>
            </w:r>
            <w:r>
              <w:rPr>
                <w:rFonts w:eastAsia="Times New Roman"/>
              </w:rPr>
              <w:t xml:space="preserve"> minētajam numuram.</w:t>
            </w:r>
          </w:p>
        </w:tc>
      </w:tr>
      <w:tr w:rsidR="00E03057" w:rsidRPr="00E745DE" w14:paraId="6DF17E26" w14:textId="77777777" w:rsidTr="00E03057">
        <w:trPr>
          <w:trHeight w:val="493"/>
        </w:trPr>
        <w:tc>
          <w:tcPr>
            <w:tcW w:w="603" w:type="dxa"/>
            <w:shd w:val="clear" w:color="auto" w:fill="auto"/>
          </w:tcPr>
          <w:p w14:paraId="51CF28E4" w14:textId="77777777" w:rsidR="00E03057" w:rsidRPr="00E745DE" w:rsidRDefault="00E03057" w:rsidP="002F6CC9">
            <w:pPr>
              <w:jc w:val="center"/>
              <w:rPr>
                <w:rFonts w:eastAsia="Calibri"/>
              </w:rPr>
            </w:pPr>
            <w:r w:rsidRPr="00E745DE">
              <w:rPr>
                <w:rFonts w:eastAsia="Calibri"/>
              </w:rPr>
              <w:t>3.</w:t>
            </w:r>
          </w:p>
        </w:tc>
        <w:tc>
          <w:tcPr>
            <w:tcW w:w="4076" w:type="dxa"/>
            <w:shd w:val="clear" w:color="auto" w:fill="auto"/>
          </w:tcPr>
          <w:p w14:paraId="1360888D" w14:textId="77777777" w:rsidR="00E03057" w:rsidRPr="001C0CA3" w:rsidRDefault="00E03057" w:rsidP="002F6CC9">
            <w:pPr>
              <w:rPr>
                <w:rFonts w:eastAsia="Times New Roman"/>
                <w:szCs w:val="24"/>
              </w:rPr>
            </w:pPr>
            <w:r w:rsidRPr="001C0CA3">
              <w:rPr>
                <w:rFonts w:eastAsia="Times New Roman"/>
                <w:szCs w:val="24"/>
              </w:rPr>
              <w:t>Vai 80021181 numuru var pārportēt uz citu operatoru?</w:t>
            </w:r>
          </w:p>
        </w:tc>
        <w:tc>
          <w:tcPr>
            <w:tcW w:w="5528" w:type="dxa"/>
            <w:shd w:val="clear" w:color="auto" w:fill="auto"/>
          </w:tcPr>
          <w:p w14:paraId="796334E7" w14:textId="77777777" w:rsidR="00E03057" w:rsidRPr="001C0CA3" w:rsidRDefault="00E03057" w:rsidP="002F6CC9">
            <w:pPr>
              <w:rPr>
                <w:rFonts w:eastAsiaTheme="minorEastAsia"/>
                <w:szCs w:val="24"/>
              </w:rPr>
            </w:pPr>
            <w:r w:rsidRPr="001C0CA3">
              <w:rPr>
                <w:szCs w:val="24"/>
              </w:rPr>
              <w:t>Skaidrojam, ka minēto numuru</w:t>
            </w:r>
            <w:r>
              <w:t xml:space="preserve"> </w:t>
            </w:r>
            <w:r w:rsidRPr="001C0CA3">
              <w:rPr>
                <w:szCs w:val="24"/>
              </w:rPr>
              <w:t>nav iespējams pārportēt un nodot lietošanā citam operatoram.</w:t>
            </w:r>
          </w:p>
        </w:tc>
      </w:tr>
      <w:tr w:rsidR="00E03057" w:rsidRPr="00E745DE" w14:paraId="5ECC76BF" w14:textId="77777777" w:rsidTr="00E03057">
        <w:trPr>
          <w:trHeight w:val="916"/>
        </w:trPr>
        <w:tc>
          <w:tcPr>
            <w:tcW w:w="603" w:type="dxa"/>
            <w:shd w:val="clear" w:color="auto" w:fill="auto"/>
          </w:tcPr>
          <w:p w14:paraId="648157F0" w14:textId="77777777" w:rsidR="00E03057" w:rsidRPr="00E745DE" w:rsidRDefault="00E03057" w:rsidP="002F6CC9">
            <w:pPr>
              <w:jc w:val="center"/>
              <w:rPr>
                <w:rFonts w:eastAsia="Calibri"/>
              </w:rPr>
            </w:pPr>
            <w:r w:rsidRPr="00E745DE">
              <w:rPr>
                <w:rFonts w:eastAsia="Calibri"/>
              </w:rPr>
              <w:t>4.</w:t>
            </w:r>
          </w:p>
        </w:tc>
        <w:tc>
          <w:tcPr>
            <w:tcW w:w="4076" w:type="dxa"/>
            <w:shd w:val="clear" w:color="auto" w:fill="auto"/>
          </w:tcPr>
          <w:p w14:paraId="51176DD3" w14:textId="77777777" w:rsidR="00E03057" w:rsidRPr="00890603" w:rsidRDefault="00E03057" w:rsidP="002F6CC9">
            <w:pPr>
              <w:rPr>
                <w:rFonts w:eastAsia="Times New Roman"/>
                <w:szCs w:val="24"/>
              </w:rPr>
            </w:pPr>
            <w:r w:rsidRPr="00890603">
              <w:rPr>
                <w:rFonts w:eastAsia="Times New Roman"/>
                <w:szCs w:val="24"/>
              </w:rPr>
              <w:t>Lūgums vēlreiz apstiprināt, ka zvanu centram būs jānosedz visas izmaksas par numura apkalpošanu tajā skaitā numura ieviešanu.</w:t>
            </w:r>
          </w:p>
        </w:tc>
        <w:tc>
          <w:tcPr>
            <w:tcW w:w="5528" w:type="dxa"/>
            <w:shd w:val="clear" w:color="auto" w:fill="auto"/>
          </w:tcPr>
          <w:p w14:paraId="0ADD171D" w14:textId="77777777" w:rsidR="00E03057" w:rsidRPr="000C7097" w:rsidRDefault="00E03057" w:rsidP="002F6CC9">
            <w:pPr>
              <w:rPr>
                <w:szCs w:val="24"/>
              </w:rPr>
            </w:pPr>
            <w:r w:rsidRPr="000C7097">
              <w:rPr>
                <w:szCs w:val="24"/>
              </w:rPr>
              <w:t>Norādām, ka šāda formulējuma sarunu procedūras nolikumā nav. Uzņēmējs nodrošina un atbild par pakalpojuma pieslēgumu vienā no mūsu punktiem,  kā arī atbild un uz sava rēķina veic piederošo līniju un cita tehniskā aprīkojuma tehnisko apskati un profilaksi. Nepieciešamības gadījumā uzņēmējs operatīvi novērš savas vainas dēļ radušos traucējumus un nekavējoties informē pasūtītāja atbildīgo kontaktpersonu par visiem bojājumiem un citām problēmām sarunu procedūras priekšmetā minētā pakalpojuma sniegšanā.</w:t>
            </w:r>
          </w:p>
        </w:tc>
      </w:tr>
      <w:tr w:rsidR="00E03057" w:rsidRPr="00E745DE" w14:paraId="5C7748A2" w14:textId="77777777" w:rsidTr="00E03057">
        <w:trPr>
          <w:trHeight w:val="531"/>
        </w:trPr>
        <w:tc>
          <w:tcPr>
            <w:tcW w:w="603" w:type="dxa"/>
            <w:shd w:val="clear" w:color="auto" w:fill="auto"/>
          </w:tcPr>
          <w:p w14:paraId="64F4549A" w14:textId="77777777" w:rsidR="00E03057" w:rsidRPr="00E745DE" w:rsidRDefault="00E03057" w:rsidP="002F6CC9">
            <w:pPr>
              <w:jc w:val="center"/>
              <w:rPr>
                <w:rFonts w:eastAsia="Calibri"/>
              </w:rPr>
            </w:pPr>
            <w:r w:rsidRPr="00E745DE">
              <w:rPr>
                <w:rFonts w:eastAsia="Calibri"/>
              </w:rPr>
              <w:t>5.</w:t>
            </w:r>
          </w:p>
        </w:tc>
        <w:tc>
          <w:tcPr>
            <w:tcW w:w="4076" w:type="dxa"/>
            <w:shd w:val="clear" w:color="auto" w:fill="auto"/>
          </w:tcPr>
          <w:p w14:paraId="0C5E8246" w14:textId="77777777" w:rsidR="00E03057" w:rsidRPr="00890603" w:rsidRDefault="00E03057" w:rsidP="002F6CC9">
            <w:pPr>
              <w:rPr>
                <w:szCs w:val="24"/>
              </w:rPr>
            </w:pPr>
            <w:r w:rsidRPr="00890603">
              <w:rPr>
                <w:szCs w:val="24"/>
              </w:rPr>
              <w:t>Tāpat arī pielikumā nr.3 trūkst punkta 7.6. Lūgums precizēt vai tur nav kļūda.</w:t>
            </w:r>
          </w:p>
        </w:tc>
        <w:tc>
          <w:tcPr>
            <w:tcW w:w="5528" w:type="dxa"/>
            <w:shd w:val="clear" w:color="auto" w:fill="auto"/>
          </w:tcPr>
          <w:p w14:paraId="20B8613E" w14:textId="77777777" w:rsidR="00E03057" w:rsidRPr="000C7097" w:rsidRDefault="00E03057" w:rsidP="002F6CC9">
            <w:pPr>
              <w:ind w:left="35"/>
              <w:contextualSpacing/>
              <w:rPr>
                <w:szCs w:val="24"/>
                <w:highlight w:val="yellow"/>
              </w:rPr>
            </w:pPr>
            <w:r w:rsidRPr="000C7097">
              <w:rPr>
                <w:szCs w:val="24"/>
              </w:rPr>
              <w:t xml:space="preserve">Skaidrojam, ka sarunu procedūras nolikuma 3.pielikuma </w:t>
            </w:r>
            <w:r w:rsidRPr="000C7097">
              <w:rPr>
                <w:rFonts w:eastAsia="Times New Roman"/>
                <w:szCs w:val="24"/>
              </w:rPr>
              <w:t xml:space="preserve"> „Tehniskā specifikācija” ir pieļauta tehniskas dabas neprecizitāte punktu noformējuma numerācijā un 7.7.punkta vietā jābūt 7.6.punktam.</w:t>
            </w:r>
          </w:p>
        </w:tc>
      </w:tr>
      <w:tr w:rsidR="00E03057" w:rsidRPr="00E745DE" w14:paraId="2CC196DB" w14:textId="77777777" w:rsidTr="00E03057">
        <w:trPr>
          <w:trHeight w:val="531"/>
        </w:trPr>
        <w:tc>
          <w:tcPr>
            <w:tcW w:w="603" w:type="dxa"/>
            <w:shd w:val="clear" w:color="auto" w:fill="auto"/>
          </w:tcPr>
          <w:p w14:paraId="672A6922" w14:textId="77777777" w:rsidR="00E03057" w:rsidRPr="00E745DE" w:rsidRDefault="00E03057" w:rsidP="002F6CC9">
            <w:pPr>
              <w:jc w:val="center"/>
              <w:rPr>
                <w:rFonts w:eastAsia="Calibri"/>
              </w:rPr>
            </w:pPr>
            <w:r>
              <w:rPr>
                <w:rFonts w:eastAsia="Calibri"/>
              </w:rPr>
              <w:t>6.</w:t>
            </w:r>
          </w:p>
        </w:tc>
        <w:tc>
          <w:tcPr>
            <w:tcW w:w="4076" w:type="dxa"/>
            <w:shd w:val="clear" w:color="auto" w:fill="auto"/>
          </w:tcPr>
          <w:p w14:paraId="611027F9" w14:textId="77777777" w:rsidR="00E03057" w:rsidRPr="00387ABE" w:rsidRDefault="00E03057" w:rsidP="002F6CC9">
            <w:pPr>
              <w:rPr>
                <w:szCs w:val="24"/>
              </w:rPr>
            </w:pPr>
            <w:r w:rsidRPr="00387ABE">
              <w:rPr>
                <w:szCs w:val="24"/>
              </w:rPr>
              <w:t xml:space="preserve">Vai prasībās par pieredzi ir iespējams norādīt zvanu skaitu mēnesī nevis līguma summu? Līguma summas ar klientiem ir konfidenciāla informācija. </w:t>
            </w:r>
          </w:p>
        </w:tc>
        <w:tc>
          <w:tcPr>
            <w:tcW w:w="5528" w:type="dxa"/>
            <w:shd w:val="clear" w:color="auto" w:fill="auto"/>
          </w:tcPr>
          <w:p w14:paraId="43DA6781" w14:textId="77777777" w:rsidR="00E03057" w:rsidRPr="00387ABE" w:rsidRDefault="00E03057" w:rsidP="002F6CC9">
            <w:pPr>
              <w:rPr>
                <w:szCs w:val="24"/>
              </w:rPr>
            </w:pPr>
            <w:r w:rsidRPr="00387ABE">
              <w:rPr>
                <w:szCs w:val="24"/>
              </w:rPr>
              <w:t>Skaidrojam, ka gadījumā, ja saskaņā ar attiecīgā noslēgtā līguma nosacījumiem, par kuru tiek sniegta informācija atbilstoši sarunu procedūras nolikuma 4.pielikumam, tā ir uzskatāma par konfidenciālu informāciju, pretendenti var norādīt arī tikai sniegtā pakalpojuma apjomu.</w:t>
            </w:r>
          </w:p>
        </w:tc>
      </w:tr>
      <w:tr w:rsidR="00E03057" w:rsidRPr="00E745DE" w14:paraId="03DA3EA2" w14:textId="77777777" w:rsidTr="00E03057">
        <w:trPr>
          <w:trHeight w:val="531"/>
        </w:trPr>
        <w:tc>
          <w:tcPr>
            <w:tcW w:w="603" w:type="dxa"/>
            <w:shd w:val="clear" w:color="auto" w:fill="auto"/>
          </w:tcPr>
          <w:p w14:paraId="19C524FB" w14:textId="77777777" w:rsidR="00E03057" w:rsidRPr="00E745DE" w:rsidRDefault="00E03057" w:rsidP="002F6CC9">
            <w:pPr>
              <w:jc w:val="center"/>
              <w:rPr>
                <w:rFonts w:eastAsia="Calibri"/>
              </w:rPr>
            </w:pPr>
            <w:r>
              <w:rPr>
                <w:rFonts w:eastAsia="Calibri"/>
              </w:rPr>
              <w:t>7.</w:t>
            </w:r>
          </w:p>
        </w:tc>
        <w:tc>
          <w:tcPr>
            <w:tcW w:w="4076" w:type="dxa"/>
            <w:shd w:val="clear" w:color="auto" w:fill="auto"/>
          </w:tcPr>
          <w:p w14:paraId="3B28675B" w14:textId="77777777" w:rsidR="00E03057" w:rsidRPr="003D6121" w:rsidRDefault="00E03057" w:rsidP="002F6CC9">
            <w:pPr>
              <w:rPr>
                <w:szCs w:val="24"/>
              </w:rPr>
            </w:pPr>
            <w:r w:rsidRPr="003D6121">
              <w:rPr>
                <w:szCs w:val="24"/>
              </w:rPr>
              <w:t>Vai drīkst norādīt pieredzi ienākošo zvanu apkalpošanā uzņēmumiem, kas nav saistīti ar transpor</w:t>
            </w:r>
            <w:bookmarkStart w:id="0" w:name="_GoBack"/>
            <w:bookmarkEnd w:id="0"/>
            <w:r w:rsidRPr="003D6121">
              <w:rPr>
                <w:szCs w:val="24"/>
              </w:rPr>
              <w:t>ta nozari, bet kas pēc būtības ir līdzvērtīgs pakalpojums.</w:t>
            </w:r>
          </w:p>
        </w:tc>
        <w:tc>
          <w:tcPr>
            <w:tcW w:w="5528" w:type="dxa"/>
            <w:shd w:val="clear" w:color="auto" w:fill="auto"/>
          </w:tcPr>
          <w:p w14:paraId="1811F46A" w14:textId="77777777" w:rsidR="00E03057" w:rsidRPr="003D6121" w:rsidRDefault="00E03057" w:rsidP="002F6CC9">
            <w:pPr>
              <w:rPr>
                <w:szCs w:val="24"/>
              </w:rPr>
            </w:pPr>
            <w:r w:rsidRPr="003D6121">
              <w:rPr>
                <w:szCs w:val="24"/>
              </w:rPr>
              <w:t xml:space="preserve">Skaidrojam, ka pretendenti var norādīt pieredzi par </w:t>
            </w:r>
            <w:r w:rsidRPr="003D6121">
              <w:rPr>
                <w:rFonts w:eastAsia="Calibri"/>
                <w:szCs w:val="24"/>
              </w:rPr>
              <w:t xml:space="preserve">pēdējo </w:t>
            </w:r>
            <w:r w:rsidRPr="003D6121">
              <w:rPr>
                <w:szCs w:val="24"/>
              </w:rPr>
              <w:t xml:space="preserve">3 (trīs) </w:t>
            </w:r>
            <w:r w:rsidRPr="003D6121">
              <w:rPr>
                <w:rFonts w:eastAsia="Calibri"/>
                <w:szCs w:val="24"/>
              </w:rPr>
              <w:t>darbības gadu laikā</w:t>
            </w:r>
            <w:r w:rsidRPr="003D6121">
              <w:rPr>
                <w:szCs w:val="24"/>
              </w:rPr>
              <w:t xml:space="preserve"> </w:t>
            </w:r>
            <w:r w:rsidRPr="003D6121">
              <w:rPr>
                <w:rFonts w:eastAsia="Calibri"/>
                <w:szCs w:val="24"/>
              </w:rPr>
              <w:t>veiktajiem</w:t>
            </w:r>
            <w:r w:rsidRPr="003D6121">
              <w:rPr>
                <w:rFonts w:eastAsia="Calibri"/>
                <w:bCs/>
                <w:szCs w:val="24"/>
              </w:rPr>
              <w:t xml:space="preserve"> vismaz  2 (diviem) iepirkuma priekšmetam līdzīga satura un apjoma līgumiem arī citas nozares ietvaros līdzvērtīgu pakalpojumu nodrošināšanā</w:t>
            </w:r>
            <w:r w:rsidRPr="003D6121">
              <w:rPr>
                <w:szCs w:val="24"/>
              </w:rPr>
              <w:t xml:space="preserve">. </w:t>
            </w:r>
          </w:p>
        </w:tc>
      </w:tr>
    </w:tbl>
    <w:p w14:paraId="70A59F82" w14:textId="77777777" w:rsidR="00E03057" w:rsidRPr="00C20434" w:rsidRDefault="00E03057">
      <w:pPr>
        <w:rPr>
          <w:rFonts w:ascii="Arial" w:hAnsi="Arial" w:cs="Arial"/>
        </w:rPr>
      </w:pPr>
    </w:p>
    <w:sectPr w:rsidR="00E03057"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B16B" w14:textId="77777777" w:rsidR="001C11A9" w:rsidRDefault="001C11A9" w:rsidP="00E03057">
      <w:r>
        <w:separator/>
      </w:r>
    </w:p>
  </w:endnote>
  <w:endnote w:type="continuationSeparator" w:id="0">
    <w:p w14:paraId="43C43C6F" w14:textId="77777777" w:rsidR="001C11A9" w:rsidRDefault="001C11A9" w:rsidP="00E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E746" w14:textId="77777777" w:rsidR="001C11A9" w:rsidRDefault="001C11A9" w:rsidP="00E03057">
      <w:r>
        <w:separator/>
      </w:r>
    </w:p>
  </w:footnote>
  <w:footnote w:type="continuationSeparator" w:id="0">
    <w:p w14:paraId="7A1D759E" w14:textId="77777777" w:rsidR="001C11A9" w:rsidRDefault="001C11A9" w:rsidP="00E0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57"/>
    <w:rsid w:val="001C11A9"/>
    <w:rsid w:val="003204EA"/>
    <w:rsid w:val="0098236C"/>
    <w:rsid w:val="00C20434"/>
    <w:rsid w:val="00E03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31F0"/>
  <w15:chartTrackingRefBased/>
  <w15:docId w15:val="{3EC56400-09EA-447C-989C-7849307F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57"/>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057"/>
    <w:pPr>
      <w:tabs>
        <w:tab w:val="center" w:pos="4153"/>
        <w:tab w:val="right" w:pos="8306"/>
      </w:tabs>
    </w:pPr>
  </w:style>
  <w:style w:type="character" w:customStyle="1" w:styleId="HeaderChar">
    <w:name w:val="Header Char"/>
    <w:basedOn w:val="DefaultParagraphFont"/>
    <w:link w:val="Header"/>
    <w:uiPriority w:val="99"/>
    <w:rsid w:val="00E03057"/>
    <w:rPr>
      <w:rFonts w:ascii="Times New Roman" w:hAnsi="Times New Roman" w:cs="Times New Roman"/>
      <w:sz w:val="24"/>
    </w:rPr>
  </w:style>
  <w:style w:type="paragraph" w:styleId="Footer">
    <w:name w:val="footer"/>
    <w:basedOn w:val="Normal"/>
    <w:link w:val="FooterChar"/>
    <w:uiPriority w:val="99"/>
    <w:unhideWhenUsed/>
    <w:rsid w:val="00E03057"/>
    <w:pPr>
      <w:tabs>
        <w:tab w:val="center" w:pos="4153"/>
        <w:tab w:val="right" w:pos="8306"/>
      </w:tabs>
    </w:pPr>
  </w:style>
  <w:style w:type="character" w:customStyle="1" w:styleId="FooterChar">
    <w:name w:val="Footer Char"/>
    <w:basedOn w:val="DefaultParagraphFont"/>
    <w:link w:val="Footer"/>
    <w:uiPriority w:val="99"/>
    <w:rsid w:val="00E0305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1650</Words>
  <Characters>942</Characters>
  <Application>Microsoft Office Word</Application>
  <DocSecurity>0</DocSecurity>
  <Lines>7</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2020-11-10T09:39:00Z</dcterms:created>
  <dcterms:modified xsi:type="dcterms:W3CDTF">2020-11-10T09:41:00Z</dcterms:modified>
</cp:coreProperties>
</file>