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814" w14:textId="77777777" w:rsidR="005A4BA6" w:rsidRPr="00AB3184" w:rsidRDefault="005A4BA6" w:rsidP="005A4BA6">
      <w:pPr>
        <w:tabs>
          <w:tab w:val="left" w:pos="3760"/>
        </w:tabs>
        <w:ind w:left="-284" w:right="-908" w:firstLine="4395"/>
        <w:jc w:val="right"/>
        <w:rPr>
          <w:rFonts w:eastAsia="Calibri"/>
          <w:i/>
          <w:szCs w:val="24"/>
          <w:lang w:eastAsia="lv-LV"/>
        </w:rPr>
      </w:pPr>
      <w:r w:rsidRPr="00AB3184">
        <w:rPr>
          <w:rFonts w:eastAsia="Calibri"/>
          <w:i/>
          <w:szCs w:val="24"/>
          <w:lang w:eastAsia="lv-LV"/>
        </w:rPr>
        <w:t>APSTIPRINĀTS:</w:t>
      </w:r>
    </w:p>
    <w:p w14:paraId="58FAA3D9" w14:textId="551046A5" w:rsidR="005A4BA6" w:rsidRPr="008951BD" w:rsidRDefault="005A4BA6" w:rsidP="005A4BA6">
      <w:pPr>
        <w:tabs>
          <w:tab w:val="left" w:pos="3760"/>
        </w:tabs>
        <w:ind w:right="-908"/>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2</w:t>
      </w:r>
      <w:r w:rsidRPr="00AB3184">
        <w:rPr>
          <w:rFonts w:eastAsia="Arial Unicode MS"/>
          <w:i/>
          <w:szCs w:val="24"/>
          <w:lang w:eastAsia="lv-LV"/>
        </w:rPr>
        <w:t xml:space="preserve">.gada </w:t>
      </w:r>
      <w:r>
        <w:rPr>
          <w:rFonts w:eastAsia="Arial Unicode MS"/>
          <w:i/>
          <w:szCs w:val="24"/>
          <w:lang w:eastAsia="lv-LV"/>
        </w:rPr>
        <w:t>25.maija</w:t>
      </w:r>
      <w:r w:rsidRPr="008951BD">
        <w:rPr>
          <w:rFonts w:eastAsia="Arial Unicode MS"/>
          <w:i/>
          <w:szCs w:val="24"/>
          <w:lang w:eastAsia="lv-LV"/>
        </w:rPr>
        <w:t xml:space="preserve"> </w:t>
      </w:r>
    </w:p>
    <w:p w14:paraId="226C9898" w14:textId="3064A60E" w:rsidR="005A4BA6" w:rsidRDefault="005A4BA6" w:rsidP="005A4BA6">
      <w:pPr>
        <w:ind w:right="-908"/>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4</w:t>
      </w:r>
    </w:p>
    <w:p w14:paraId="20434725" w14:textId="500D2B09" w:rsidR="005A4BA6" w:rsidRDefault="005A4BA6" w:rsidP="005A4BA6">
      <w:pPr>
        <w:ind w:right="-908"/>
        <w:jc w:val="right"/>
        <w:rPr>
          <w:rFonts w:eastAsia="Arial Unicode MS"/>
          <w:i/>
          <w:szCs w:val="24"/>
          <w:lang w:eastAsia="lv-LV"/>
        </w:rPr>
      </w:pPr>
    </w:p>
    <w:p w14:paraId="11241A7B" w14:textId="77777777" w:rsidR="005A4BA6" w:rsidRDefault="005A4BA6" w:rsidP="005A4BA6">
      <w:pPr>
        <w:jc w:val="center"/>
        <w:rPr>
          <w:b/>
        </w:rPr>
      </w:pPr>
    </w:p>
    <w:p w14:paraId="334BA90F" w14:textId="5020B09B" w:rsidR="005A4BA6" w:rsidRPr="008B3C58" w:rsidRDefault="005A4BA6" w:rsidP="005A4BA6">
      <w:pPr>
        <w:jc w:val="center"/>
        <w:rPr>
          <w:b/>
        </w:rPr>
      </w:pPr>
      <w:r w:rsidRPr="008B3C58">
        <w:rPr>
          <w:b/>
        </w:rPr>
        <w:t>VAS </w:t>
      </w:r>
      <w:r w:rsidRPr="008B3C58">
        <w:rPr>
          <w:b/>
          <w:color w:val="222222"/>
        </w:rPr>
        <w:t>„</w:t>
      </w:r>
      <w:r w:rsidRPr="008B3C58">
        <w:rPr>
          <w:b/>
        </w:rPr>
        <w:t xml:space="preserve">Latvijas dzelzceļš” </w:t>
      </w:r>
    </w:p>
    <w:p w14:paraId="78A17ECF" w14:textId="77777777" w:rsidR="005A4BA6" w:rsidRPr="008B3C58" w:rsidRDefault="005A4BA6" w:rsidP="005A4BA6">
      <w:pPr>
        <w:ind w:left="142" w:right="-1"/>
        <w:jc w:val="center"/>
        <w:rPr>
          <w:b/>
        </w:rPr>
      </w:pPr>
      <w:r w:rsidRPr="008B3C58">
        <w:rPr>
          <w:b/>
        </w:rPr>
        <w:t>sarunu procedūras ar publikāciju</w:t>
      </w:r>
    </w:p>
    <w:p w14:paraId="668ACDA6" w14:textId="77777777" w:rsidR="005A4BA6" w:rsidRPr="002D1804" w:rsidRDefault="005A4BA6" w:rsidP="005A4BA6">
      <w:pPr>
        <w:ind w:left="284" w:right="282"/>
        <w:jc w:val="center"/>
        <w:rPr>
          <w:b/>
          <w:bCs/>
          <w:color w:val="222222"/>
          <w:szCs w:val="24"/>
        </w:rPr>
      </w:pPr>
      <w:r w:rsidRPr="002D1804">
        <w:rPr>
          <w:b/>
          <w:bCs/>
          <w:color w:val="222222"/>
          <w:szCs w:val="24"/>
        </w:rPr>
        <w:t>„Ēku, būvju nojaukšanas un teritorijas labiekārtošanas</w:t>
      </w:r>
    </w:p>
    <w:p w14:paraId="76003C48" w14:textId="77777777" w:rsidR="005A4BA6" w:rsidRDefault="005A4BA6" w:rsidP="005A4BA6">
      <w:pPr>
        <w:ind w:left="284" w:right="282"/>
        <w:jc w:val="center"/>
        <w:rPr>
          <w:b/>
          <w:bCs/>
          <w:color w:val="222222"/>
          <w:szCs w:val="24"/>
        </w:rPr>
      </w:pPr>
      <w:r w:rsidRPr="002D1804">
        <w:rPr>
          <w:b/>
          <w:bCs/>
          <w:color w:val="222222"/>
          <w:szCs w:val="24"/>
        </w:rPr>
        <w:t>projektu dokumentāciju izstrāde”</w:t>
      </w:r>
    </w:p>
    <w:p w14:paraId="02159457" w14:textId="77777777" w:rsidR="005A4BA6" w:rsidRPr="00681731" w:rsidRDefault="005A4BA6" w:rsidP="005A4BA6">
      <w:pPr>
        <w:ind w:left="284" w:right="282"/>
        <w:rPr>
          <w:rFonts w:eastAsia="Calibri"/>
        </w:rPr>
      </w:pPr>
    </w:p>
    <w:p w14:paraId="10E87C97" w14:textId="77777777" w:rsidR="005A4BA6" w:rsidRPr="00E308A2" w:rsidRDefault="005A4BA6" w:rsidP="005A4BA6">
      <w:pPr>
        <w:ind w:left="284" w:right="282"/>
        <w:jc w:val="center"/>
        <w:rPr>
          <w:rFonts w:eastAsia="Calibri"/>
          <w:b/>
        </w:rPr>
      </w:pPr>
      <w:r w:rsidRPr="00681731">
        <w:rPr>
          <w:rFonts w:eastAsia="Calibri"/>
          <w:b/>
        </w:rPr>
        <w:t>Skaidrojums Nr.</w:t>
      </w:r>
      <w:r>
        <w:rPr>
          <w:rFonts w:eastAsia="Calibri"/>
          <w:b/>
        </w:rPr>
        <w:t>3</w:t>
      </w:r>
    </w:p>
    <w:p w14:paraId="42005C10" w14:textId="77777777" w:rsidR="005A4BA6" w:rsidRPr="00291EAB" w:rsidRDefault="005A4BA6" w:rsidP="005A4BA6">
      <w:pPr>
        <w:ind w:left="284" w:right="282"/>
        <w:jc w:val="center"/>
        <w:rPr>
          <w:rFonts w:eastAsia="Calibri"/>
          <w:b/>
          <w:highlight w:val="yellow"/>
        </w:rPr>
      </w:pPr>
    </w:p>
    <w:tbl>
      <w:tblPr>
        <w:tblW w:w="99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4683"/>
      </w:tblGrid>
      <w:tr w:rsidR="005A4BA6" w:rsidRPr="006C6AAF" w14:paraId="215CB00E" w14:textId="77777777" w:rsidTr="005A4BA6">
        <w:trPr>
          <w:trHeight w:val="695"/>
        </w:trPr>
        <w:tc>
          <w:tcPr>
            <w:tcW w:w="709" w:type="dxa"/>
            <w:shd w:val="clear" w:color="auto" w:fill="FFF2CC"/>
            <w:vAlign w:val="center"/>
          </w:tcPr>
          <w:p w14:paraId="22D8ACED" w14:textId="77777777" w:rsidR="005A4BA6" w:rsidRPr="006C6AAF" w:rsidRDefault="005A4BA6" w:rsidP="00FD26F9">
            <w:pPr>
              <w:jc w:val="center"/>
              <w:rPr>
                <w:rFonts w:eastAsia="Calibri"/>
                <w:b/>
              </w:rPr>
            </w:pPr>
            <w:r w:rsidRPr="006C6AAF">
              <w:rPr>
                <w:rFonts w:eastAsia="Calibri"/>
                <w:b/>
              </w:rPr>
              <w:t>Nr.</w:t>
            </w:r>
          </w:p>
          <w:p w14:paraId="6D6ED524" w14:textId="77777777" w:rsidR="005A4BA6" w:rsidRPr="006C6AAF" w:rsidRDefault="005A4BA6" w:rsidP="00FD26F9">
            <w:pPr>
              <w:jc w:val="center"/>
              <w:rPr>
                <w:rFonts w:eastAsia="Calibri"/>
                <w:b/>
              </w:rPr>
            </w:pPr>
            <w:r w:rsidRPr="006C6AAF">
              <w:rPr>
                <w:rFonts w:eastAsia="Calibri"/>
                <w:b/>
              </w:rPr>
              <w:t>p.k.</w:t>
            </w:r>
          </w:p>
        </w:tc>
        <w:tc>
          <w:tcPr>
            <w:tcW w:w="4536" w:type="dxa"/>
            <w:shd w:val="clear" w:color="auto" w:fill="FFF2CC"/>
            <w:vAlign w:val="center"/>
          </w:tcPr>
          <w:p w14:paraId="4FF3A623" w14:textId="77777777" w:rsidR="005A4BA6" w:rsidRPr="006C6AAF" w:rsidRDefault="005A4BA6" w:rsidP="00FD26F9">
            <w:pPr>
              <w:jc w:val="center"/>
              <w:rPr>
                <w:rFonts w:eastAsia="Calibri"/>
                <w:b/>
                <w:i/>
              </w:rPr>
            </w:pPr>
            <w:r w:rsidRPr="006C6AAF">
              <w:rPr>
                <w:rFonts w:eastAsia="Calibri"/>
                <w:b/>
                <w:i/>
              </w:rPr>
              <w:t>Jautājums</w:t>
            </w:r>
          </w:p>
        </w:tc>
        <w:tc>
          <w:tcPr>
            <w:tcW w:w="4683" w:type="dxa"/>
            <w:shd w:val="clear" w:color="auto" w:fill="FFF2CC"/>
            <w:vAlign w:val="center"/>
          </w:tcPr>
          <w:p w14:paraId="51396175" w14:textId="77777777" w:rsidR="005A4BA6" w:rsidRPr="006C6AAF" w:rsidRDefault="005A4BA6" w:rsidP="00FD26F9">
            <w:pPr>
              <w:jc w:val="center"/>
              <w:rPr>
                <w:rFonts w:eastAsia="Calibri"/>
                <w:b/>
                <w:i/>
                <w:highlight w:val="yellow"/>
              </w:rPr>
            </w:pPr>
            <w:r w:rsidRPr="006C6AAF">
              <w:rPr>
                <w:rFonts w:eastAsia="Calibri"/>
                <w:b/>
                <w:i/>
              </w:rPr>
              <w:t>Atbilde</w:t>
            </w:r>
          </w:p>
        </w:tc>
      </w:tr>
      <w:tr w:rsidR="005A4BA6" w:rsidRPr="006C6AAF" w14:paraId="7C04619B" w14:textId="77777777" w:rsidTr="005A4BA6">
        <w:trPr>
          <w:trHeight w:val="1647"/>
        </w:trPr>
        <w:tc>
          <w:tcPr>
            <w:tcW w:w="709" w:type="dxa"/>
            <w:shd w:val="clear" w:color="auto" w:fill="auto"/>
          </w:tcPr>
          <w:p w14:paraId="7BDAC7CC" w14:textId="77777777" w:rsidR="005A4BA6" w:rsidRPr="00F615E0" w:rsidRDefault="005A4BA6" w:rsidP="00FD26F9">
            <w:pPr>
              <w:jc w:val="center"/>
              <w:rPr>
                <w:rFonts w:eastAsia="Calibri"/>
                <w:szCs w:val="24"/>
              </w:rPr>
            </w:pPr>
            <w:r w:rsidRPr="00F615E0">
              <w:rPr>
                <w:rFonts w:eastAsia="Calibri"/>
                <w:szCs w:val="24"/>
              </w:rPr>
              <w:t>1.</w:t>
            </w:r>
          </w:p>
        </w:tc>
        <w:tc>
          <w:tcPr>
            <w:tcW w:w="4536" w:type="dxa"/>
            <w:shd w:val="clear" w:color="auto" w:fill="auto"/>
          </w:tcPr>
          <w:p w14:paraId="132FDE97" w14:textId="77777777" w:rsidR="005A4BA6" w:rsidRPr="000C0CAE" w:rsidRDefault="005A4BA6" w:rsidP="00FD26F9">
            <w:pPr>
              <w:tabs>
                <w:tab w:val="left" w:pos="709"/>
              </w:tabs>
              <w:autoSpaceDE w:val="0"/>
              <w:contextualSpacing/>
              <w:rPr>
                <w:szCs w:val="24"/>
              </w:rPr>
            </w:pPr>
            <w:r w:rsidRPr="000C0CAE">
              <w:rPr>
                <w:szCs w:val="24"/>
              </w:rPr>
              <w:t xml:space="preserve">Lūdzam rast iespēju un papildināt nolikuma 1.6.punktu ar citiem piedāvājuma nodrošinājuma variantiem, piemēram, </w:t>
            </w:r>
            <w:r w:rsidRPr="000C0CAE">
              <w:rPr>
                <w:szCs w:val="24"/>
                <w:u w:val="single"/>
              </w:rPr>
              <w:t>apdrošināšanas sabiedrības izdotu polisi</w:t>
            </w:r>
            <w:r w:rsidRPr="000C0CAE">
              <w:rPr>
                <w:szCs w:val="24"/>
              </w:rPr>
              <w:t>.</w:t>
            </w:r>
          </w:p>
          <w:p w14:paraId="2E7AF58A" w14:textId="77777777" w:rsidR="005A4BA6" w:rsidRPr="000C0CAE" w:rsidRDefault="005A4BA6" w:rsidP="00FD26F9">
            <w:pPr>
              <w:contextualSpacing/>
              <w:rPr>
                <w:szCs w:val="24"/>
              </w:rPr>
            </w:pPr>
          </w:p>
        </w:tc>
        <w:tc>
          <w:tcPr>
            <w:tcW w:w="4683" w:type="dxa"/>
            <w:shd w:val="clear" w:color="auto" w:fill="auto"/>
          </w:tcPr>
          <w:p w14:paraId="3E2A68D4" w14:textId="77777777" w:rsidR="005A4BA6" w:rsidRPr="000C0CAE" w:rsidRDefault="005A4BA6" w:rsidP="00FD26F9">
            <w:pPr>
              <w:rPr>
                <w:szCs w:val="24"/>
              </w:rPr>
            </w:pPr>
            <w:r w:rsidRPr="000C0CAE">
              <w:rPr>
                <w:szCs w:val="24"/>
              </w:rPr>
              <w:t xml:space="preserve">Skaidrojam, ka sarunu procedūras ar publikāciju nolikuma 1.6.punktā ietvertā prasība paredz piedāvājuma nodrošinājuma iesniegšanu kā naudas summas iemaksu VAS </w:t>
            </w:r>
            <w:r w:rsidRPr="000C0CAE">
              <w:rPr>
                <w:color w:val="222222"/>
                <w:szCs w:val="24"/>
              </w:rPr>
              <w:t xml:space="preserve">„Latvijas dzelzceļš” </w:t>
            </w:r>
            <w:r w:rsidRPr="000C0CAE">
              <w:rPr>
                <w:szCs w:val="24"/>
              </w:rPr>
              <w:t xml:space="preserve">bankas kontā, taču, ja pretendents kopā ar piedāvājumu var iesniegt tādu apdrošināšanas sabiedrības izsniegtu polisi kā </w:t>
            </w:r>
            <w:r w:rsidRPr="000C0CAE">
              <w:rPr>
                <w:szCs w:val="24"/>
                <w:u w:val="single"/>
              </w:rPr>
              <w:t>beznosacījuma galvojumu</w:t>
            </w:r>
            <w:r w:rsidRPr="000C0CAE">
              <w:rPr>
                <w:szCs w:val="24"/>
              </w:rPr>
              <w:t xml:space="preserve"> (t.i., paredzot, ka nodrošinājuma devējs izmaksā nodrošinājumā paredzēto summu </w:t>
            </w:r>
            <w:r w:rsidRPr="000C0CAE">
              <w:rPr>
                <w:szCs w:val="24"/>
                <w:u w:val="single"/>
              </w:rPr>
              <w:t>pēc pirmā pasūtītāja pieprasījuma</w:t>
            </w:r>
            <w:r w:rsidRPr="000C0CAE">
              <w:rPr>
                <w:szCs w:val="24"/>
              </w:rPr>
              <w:t>), pievienojot arī maksājuma uzdevumu, kas apliecina, ka veikts prēmijas maksājums, tad pretendents netiks izslēgts no dalības sarunu procedūrā ar publikāciju.</w:t>
            </w:r>
          </w:p>
        </w:tc>
      </w:tr>
      <w:tr w:rsidR="005A4BA6" w:rsidRPr="006C6AAF" w14:paraId="263380AA" w14:textId="77777777" w:rsidTr="005A4BA6">
        <w:trPr>
          <w:trHeight w:val="592"/>
        </w:trPr>
        <w:tc>
          <w:tcPr>
            <w:tcW w:w="709" w:type="dxa"/>
            <w:shd w:val="clear" w:color="auto" w:fill="auto"/>
          </w:tcPr>
          <w:p w14:paraId="4F217A48" w14:textId="77777777" w:rsidR="005A4BA6" w:rsidRPr="00F615E0" w:rsidRDefault="005A4BA6" w:rsidP="00FD26F9">
            <w:pPr>
              <w:jc w:val="center"/>
              <w:rPr>
                <w:rFonts w:eastAsia="Calibri"/>
                <w:szCs w:val="24"/>
              </w:rPr>
            </w:pPr>
            <w:r>
              <w:rPr>
                <w:rFonts w:eastAsia="Calibri"/>
                <w:szCs w:val="24"/>
              </w:rPr>
              <w:t>2.</w:t>
            </w:r>
          </w:p>
        </w:tc>
        <w:tc>
          <w:tcPr>
            <w:tcW w:w="4536" w:type="dxa"/>
            <w:shd w:val="clear" w:color="auto" w:fill="auto"/>
          </w:tcPr>
          <w:p w14:paraId="525D097A" w14:textId="77777777" w:rsidR="005A4BA6" w:rsidRPr="004512D9" w:rsidRDefault="005A4BA6" w:rsidP="00FD26F9">
            <w:pPr>
              <w:contextualSpacing/>
            </w:pPr>
            <w:r>
              <w:t xml:space="preserve">Nolikuma pantā 2.3. minēts izpildes termiņš 5 mēneši, turklāt šajā laikā jānodrošina arī topogrāfija vai inženiertīklu plāns. Plānotajā līguma tekstā arī minēts, ka gadījumā, ja termiņš tiek kavēts, tad Pasūtītājs var lauzt līgumu paturot iemaksātos 5% nodrošinājumu no līguma summas. Ņemot vērā atsevišķo būvvalžu izvērsto birokrātiju, regulārus termiņu kavējumus ar atbildēm, ka arī atsevišķu tīklu turētāju kavējumus ar atbildi, kādā veidā Pasūtītājs redz reālistisku izpildi 5 mēnešos, ja no tiem 1,5 līdz 3 mēnešiem var aiziet uz aktuālas topogrāfijas saņemšanu. Piemēram, Rīgas būvvalde var neatbildēt mēnešiem ilgi no projekta iesniegšanas brīža.  Kas notiek, ja Izpildītājs paraksta līgumu, par 30 ēku demontāžas projektiem, no kuriem 27 ir izpildīti laicīgi un 3 dažādu iemeslu dēļ var kavēties. Vai līgumsods tiek aprēķināts no kopējās </w:t>
            </w:r>
            <w:r>
              <w:lastRenderedPageBreak/>
              <w:t>piedāvājuma summas vai tikai no neizpildīto ēku norādīto cenu kopsummas.</w:t>
            </w:r>
          </w:p>
        </w:tc>
        <w:tc>
          <w:tcPr>
            <w:tcW w:w="4683" w:type="dxa"/>
            <w:shd w:val="clear" w:color="auto" w:fill="auto"/>
          </w:tcPr>
          <w:p w14:paraId="564167AF" w14:textId="77777777" w:rsidR="005A4BA6" w:rsidRPr="000C0CAE" w:rsidRDefault="005A4BA6" w:rsidP="00FD26F9">
            <w:pPr>
              <w:rPr>
                <w:szCs w:val="24"/>
              </w:rPr>
            </w:pPr>
            <w:r>
              <w:lastRenderedPageBreak/>
              <w:t xml:space="preserve">Skaidrojam, ka gadījumā, ja līguma izpildes laikā un projektu izstrādāšanas gaitā radīsies problēmas, jeb apstākļi, kuri kavē līguma izpildi un nav atkarīgi no uzņēmēja, uzņēmējam ir tiesības savlaicīgi pasūtītājam iesniegt rakstisku vēstuli, norādot tajā aizkavējumu iemeslus, sniedzot pierādījumus. Pasūtītājs izvērtēs konkrēto situāciju, un gadījumā, ja tiks atzīts, ka aizkavējumu iemesls ir pamatots un nav atkarīgs no uzņēmēja, tad attiecīgi starp līguma pusēm tiks noslēgta vienošanās par pakalpojuma izpildes termiņa pagarināšanu.              </w:t>
            </w:r>
          </w:p>
        </w:tc>
      </w:tr>
      <w:tr w:rsidR="005A4BA6" w:rsidRPr="006C6AAF" w14:paraId="4154664F" w14:textId="77777777" w:rsidTr="005A4BA6">
        <w:trPr>
          <w:trHeight w:val="6472"/>
        </w:trPr>
        <w:tc>
          <w:tcPr>
            <w:tcW w:w="709" w:type="dxa"/>
            <w:shd w:val="clear" w:color="auto" w:fill="auto"/>
          </w:tcPr>
          <w:p w14:paraId="20DBB64D" w14:textId="77777777" w:rsidR="005A4BA6" w:rsidRPr="00F615E0" w:rsidRDefault="005A4BA6" w:rsidP="00FD26F9">
            <w:pPr>
              <w:jc w:val="center"/>
              <w:rPr>
                <w:rFonts w:eastAsia="Calibri"/>
                <w:szCs w:val="24"/>
              </w:rPr>
            </w:pPr>
            <w:r>
              <w:rPr>
                <w:rFonts w:eastAsia="Calibri"/>
                <w:szCs w:val="24"/>
              </w:rPr>
              <w:t>3.</w:t>
            </w:r>
          </w:p>
        </w:tc>
        <w:tc>
          <w:tcPr>
            <w:tcW w:w="4536" w:type="dxa"/>
            <w:shd w:val="clear" w:color="auto" w:fill="auto"/>
          </w:tcPr>
          <w:p w14:paraId="27ED78D2" w14:textId="77777777" w:rsidR="005A4BA6" w:rsidRPr="000C0CAE" w:rsidRDefault="005A4BA6" w:rsidP="00FD26F9">
            <w:pPr>
              <w:tabs>
                <w:tab w:val="left" w:pos="709"/>
              </w:tabs>
              <w:autoSpaceDE w:val="0"/>
              <w:contextualSpacing/>
              <w:rPr>
                <w:szCs w:val="24"/>
              </w:rPr>
            </w:pPr>
            <w:r>
              <w:t>Vai ir iespējams norādīt vismaz lielākām ēkām, kādi ir esoši, neatslēgti tīkli attiecīgās ēkās un ar kādiem tīklu turētājiem tās būs jāskaņo. Norādām, ka apsekošanas laikā nevaram redzēt vizuāli, kādi tīkli ir vēl pieslēgti, kuru atslēgšana un saskaņošana ir nepieciešama. Pieņemam, ka Sadales tīkls būs gandrīz visām ēkām?</w:t>
            </w:r>
          </w:p>
        </w:tc>
        <w:tc>
          <w:tcPr>
            <w:tcW w:w="4683" w:type="dxa"/>
            <w:shd w:val="clear" w:color="auto" w:fill="auto"/>
          </w:tcPr>
          <w:p w14:paraId="5C40E9C1" w14:textId="77777777" w:rsidR="005A4BA6" w:rsidRPr="000C0CAE" w:rsidRDefault="005A4BA6" w:rsidP="00FD26F9">
            <w:pPr>
              <w:rPr>
                <w:szCs w:val="24"/>
              </w:rPr>
            </w:pPr>
            <w:r>
              <w:t xml:space="preserve">Skaidrojam, ka pasūtītāja rīcībā nav precīzas informācijas, kādas ēkas ir pieslēgtas vai jau atslēgtas no komunikācijām, to jāprecizē projektu iestrādāšanas gaitā. Ievērojamā daļa no ēkām ir pieslēgta elektriskiem vai pie sakaru tīkliem. Zemes gabalos, kuri pieder VAS </w:t>
            </w:r>
            <w:r w:rsidRPr="002B6811">
              <w:rPr>
                <w:color w:val="222222"/>
                <w:szCs w:val="24"/>
              </w:rPr>
              <w:t>„</w:t>
            </w:r>
            <w:r>
              <w:rPr>
                <w:color w:val="222222"/>
                <w:szCs w:val="24"/>
              </w:rPr>
              <w:t xml:space="preserve">Latvijas dzelzceļš” </w:t>
            </w:r>
            <w:r>
              <w:t xml:space="preserve">(Satiksmes ministrijai-valstij), ēkas pieslēgtas pie VAS </w:t>
            </w:r>
            <w:r w:rsidRPr="002B6811">
              <w:rPr>
                <w:color w:val="222222"/>
                <w:szCs w:val="24"/>
              </w:rPr>
              <w:t>„</w:t>
            </w:r>
            <w:r>
              <w:rPr>
                <w:color w:val="222222"/>
                <w:szCs w:val="24"/>
              </w:rPr>
              <w:t>Latvijas dzelzceļš”</w:t>
            </w:r>
            <w:r>
              <w:t xml:space="preserve"> elektriskiem tīkliem un sakaru tīkliem. Sakarā ar to, atkarībā no reģiona, tiks piesaistīsi atbildīgie struktūrvienības darbinieki, kuri konsultēs kā pareizi atslēgt ēku no tīkliem. Ņemot vērā, ka tiks izstrādāta topogrāfija un </w:t>
            </w:r>
            <w:r w:rsidRPr="00A57B67">
              <w:t xml:space="preserve">projektēšanas gaitā tiks veikta apsekošana, ēku esošos pieslēgumus uzņēmējs varēs precizēt projektu izstrādāšanas </w:t>
            </w:r>
            <w:r>
              <w:t xml:space="preserve">gaitā. Ēkas, kuras atrodas pašvaldības teritorijās var būt pieslēgtas pie pilsētas tīkliem un ārpus VAS </w:t>
            </w:r>
            <w:r w:rsidRPr="002B6811">
              <w:rPr>
                <w:color w:val="222222"/>
                <w:szCs w:val="24"/>
              </w:rPr>
              <w:t>„</w:t>
            </w:r>
            <w:r>
              <w:rPr>
                <w:color w:val="222222"/>
                <w:szCs w:val="24"/>
              </w:rPr>
              <w:t>Latvijas dzelzceļš”</w:t>
            </w:r>
            <w:r>
              <w:t xml:space="preserve"> tīkliem. Minētajos gadījumos ir jāievēro, ka var būt nepieciešams pasūtīt tehniskos noteikumus un veikt saskaņošanu ar tīklu turētajiem. Vienlaikus norādām, ka nolikuma dokumentācijā noradīti ēku kadastra apzīmējumi un ēku atrašanās vietas uzņēmējs var precizēt interneta tīmekļa vietnē: </w:t>
            </w:r>
            <w:r w:rsidRPr="005F69F4">
              <w:rPr>
                <w:i/>
                <w:iCs/>
              </w:rPr>
              <w:t>kadastrs.lv</w:t>
            </w:r>
            <w:r>
              <w:t>.</w:t>
            </w:r>
          </w:p>
        </w:tc>
      </w:tr>
      <w:tr w:rsidR="005A4BA6" w:rsidRPr="006C6AAF" w14:paraId="0AD3A307" w14:textId="77777777" w:rsidTr="005A4BA6">
        <w:trPr>
          <w:trHeight w:val="834"/>
        </w:trPr>
        <w:tc>
          <w:tcPr>
            <w:tcW w:w="709" w:type="dxa"/>
            <w:shd w:val="clear" w:color="auto" w:fill="auto"/>
          </w:tcPr>
          <w:p w14:paraId="5DE5AC54" w14:textId="77777777" w:rsidR="005A4BA6" w:rsidRPr="00F615E0" w:rsidRDefault="005A4BA6" w:rsidP="00FD26F9">
            <w:pPr>
              <w:jc w:val="center"/>
              <w:rPr>
                <w:rFonts w:eastAsia="Calibri"/>
                <w:szCs w:val="24"/>
              </w:rPr>
            </w:pPr>
            <w:r>
              <w:rPr>
                <w:rFonts w:eastAsia="Calibri"/>
                <w:szCs w:val="24"/>
              </w:rPr>
              <w:t>4.</w:t>
            </w:r>
          </w:p>
        </w:tc>
        <w:tc>
          <w:tcPr>
            <w:tcW w:w="4536" w:type="dxa"/>
            <w:shd w:val="clear" w:color="auto" w:fill="auto"/>
          </w:tcPr>
          <w:p w14:paraId="4F11053B" w14:textId="77777777" w:rsidR="005A4BA6" w:rsidRPr="000C0CAE" w:rsidRDefault="005A4BA6" w:rsidP="00FD26F9">
            <w:pPr>
              <w:tabs>
                <w:tab w:val="left" w:pos="709"/>
              </w:tabs>
              <w:autoSpaceDE w:val="0"/>
              <w:contextualSpacing/>
              <w:rPr>
                <w:szCs w:val="24"/>
              </w:rPr>
            </w:pPr>
            <w:r>
              <w:t xml:space="preserve">Vai </w:t>
            </w:r>
            <w:proofErr w:type="spellStart"/>
            <w:r>
              <w:t>pn</w:t>
            </w:r>
            <w:proofErr w:type="spellEnd"/>
            <w:r>
              <w:t xml:space="preserve"> akts un rēķins uzvaras gadījumā tiks izrakstīti par katru ēku atsevišķi vai tomēr par </w:t>
            </w:r>
            <w:proofErr w:type="spellStart"/>
            <w:r>
              <w:t>lotēm</w:t>
            </w:r>
            <w:proofErr w:type="spellEnd"/>
            <w:r>
              <w:t>/visu apjomu kopā.</w:t>
            </w:r>
          </w:p>
        </w:tc>
        <w:tc>
          <w:tcPr>
            <w:tcW w:w="4683" w:type="dxa"/>
            <w:shd w:val="clear" w:color="auto" w:fill="auto"/>
          </w:tcPr>
          <w:p w14:paraId="5B0285CB" w14:textId="224F1D41" w:rsidR="005A4BA6" w:rsidRPr="002B15B5" w:rsidRDefault="005A4BA6" w:rsidP="00FD26F9">
            <w:pPr>
              <w:pStyle w:val="Vienkrsteksts"/>
              <w:jc w:val="both"/>
              <w:rPr>
                <w:rFonts w:ascii="Times New Roman" w:hAnsi="Times New Roman" w:cs="Times New Roman"/>
                <w:sz w:val="24"/>
                <w:szCs w:val="24"/>
              </w:rPr>
            </w:pPr>
            <w:r w:rsidRPr="002B15B5">
              <w:rPr>
                <w:rFonts w:ascii="Times New Roman" w:hAnsi="Times New Roman" w:cs="Times New Roman"/>
                <w:sz w:val="24"/>
                <w:szCs w:val="24"/>
              </w:rPr>
              <w:t xml:space="preserve">Skaidrojam, ka </w:t>
            </w:r>
            <w:r>
              <w:rPr>
                <w:rFonts w:ascii="Times New Roman" w:hAnsi="Times New Roman" w:cs="Times New Roman"/>
                <w:sz w:val="24"/>
                <w:szCs w:val="24"/>
              </w:rPr>
              <w:t xml:space="preserve">tiks izrakstīts viens vienots pakalpojumu </w:t>
            </w:r>
            <w:r w:rsidRPr="002B15B5">
              <w:rPr>
                <w:rFonts w:ascii="Times New Roman" w:hAnsi="Times New Roman" w:cs="Times New Roman"/>
                <w:sz w:val="24"/>
                <w:szCs w:val="24"/>
              </w:rPr>
              <w:t>pieņemšanas – nodošanas akts un rēķins par visām iepirkuma priekšmeta daļām, par kurām tiks noslēgts līgums, attiecīgi visiem objektiem kopumā.</w:t>
            </w:r>
            <w:r>
              <w:rPr>
                <w:rFonts w:ascii="Times New Roman" w:hAnsi="Times New Roman" w:cs="Times New Roman"/>
                <w:sz w:val="24"/>
                <w:szCs w:val="24"/>
              </w:rPr>
              <w:t xml:space="preserve"> </w:t>
            </w:r>
          </w:p>
        </w:tc>
      </w:tr>
    </w:tbl>
    <w:p w14:paraId="7421F4B1" w14:textId="77777777" w:rsidR="005A4BA6" w:rsidRPr="00C20434" w:rsidRDefault="005A4BA6" w:rsidP="005A4BA6">
      <w:pPr>
        <w:rPr>
          <w:rFonts w:ascii="Arial" w:hAnsi="Arial" w:cs="Arial"/>
        </w:rPr>
      </w:pPr>
    </w:p>
    <w:p w14:paraId="55B5307F" w14:textId="77777777" w:rsidR="005A4BA6" w:rsidRPr="00C20434" w:rsidRDefault="005A4BA6" w:rsidP="005A4BA6">
      <w:pPr>
        <w:rPr>
          <w:rFonts w:ascii="Arial" w:hAnsi="Arial" w:cs="Arial"/>
        </w:rPr>
      </w:pPr>
    </w:p>
    <w:p w14:paraId="2438D4E2" w14:textId="77777777" w:rsidR="005A4BA6" w:rsidRDefault="005A4BA6" w:rsidP="005A4BA6">
      <w:pPr>
        <w:ind w:right="-908"/>
        <w:jc w:val="right"/>
        <w:rPr>
          <w:rFonts w:eastAsia="Arial Unicode MS"/>
          <w:i/>
          <w:szCs w:val="24"/>
          <w:lang w:eastAsia="lv-LV"/>
        </w:rPr>
      </w:pPr>
    </w:p>
    <w:p w14:paraId="3B26D41D" w14:textId="77777777" w:rsidR="005A4BA6" w:rsidRDefault="005A4BA6" w:rsidP="005A4BA6">
      <w:pPr>
        <w:rPr>
          <w:rFonts w:ascii="Arial" w:hAnsi="Arial" w:cs="Arial"/>
        </w:rPr>
      </w:pPr>
    </w:p>
    <w:p w14:paraId="6D91FB52"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A6"/>
    <w:rsid w:val="003204EA"/>
    <w:rsid w:val="005A4BA6"/>
    <w:rsid w:val="00762424"/>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8757"/>
  <w15:chartTrackingRefBased/>
  <w15:docId w15:val="{15BB153A-77EA-4CCB-AEF8-8264BDAA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4BA6"/>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iPriority w:val="99"/>
    <w:unhideWhenUsed/>
    <w:rsid w:val="005A4BA6"/>
    <w:pPr>
      <w:jc w:val="left"/>
    </w:pPr>
    <w:rPr>
      <w:rFonts w:ascii="Arial" w:hAnsi="Arial" w:cstheme="minorBidi"/>
      <w:sz w:val="20"/>
      <w:szCs w:val="21"/>
    </w:rPr>
  </w:style>
  <w:style w:type="character" w:customStyle="1" w:styleId="VienkrstekstsRakstz">
    <w:name w:val="Vienkāršs teksts Rakstz."/>
    <w:basedOn w:val="Noklusjumarindkopasfonts"/>
    <w:link w:val="Vienkrsteksts"/>
    <w:uiPriority w:val="99"/>
    <w:rsid w:val="005A4BA6"/>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2736</Words>
  <Characters>1561</Characters>
  <Application>Microsoft Office Word</Application>
  <DocSecurity>0</DocSecurity>
  <Lines>13</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2022-05-25T14:08:00Z</dcterms:created>
  <dcterms:modified xsi:type="dcterms:W3CDTF">2022-05-25T14:08:00Z</dcterms:modified>
</cp:coreProperties>
</file>