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DA3F1" w14:textId="77777777" w:rsidR="00F2643D" w:rsidRPr="00AB3184" w:rsidRDefault="00F2643D" w:rsidP="00F2643D">
      <w:pPr>
        <w:tabs>
          <w:tab w:val="left" w:pos="3760"/>
        </w:tabs>
        <w:ind w:left="-284" w:right="-1044" w:firstLine="4395"/>
        <w:jc w:val="right"/>
        <w:rPr>
          <w:rFonts w:eastAsia="Calibri"/>
          <w:i/>
          <w:szCs w:val="24"/>
          <w:lang w:eastAsia="lv-LV"/>
        </w:rPr>
      </w:pPr>
      <w:r w:rsidRPr="00AB3184">
        <w:rPr>
          <w:rFonts w:eastAsia="Calibri"/>
          <w:i/>
          <w:szCs w:val="24"/>
          <w:lang w:eastAsia="lv-LV"/>
        </w:rPr>
        <w:t>APSTIPRINĀTS:</w:t>
      </w:r>
    </w:p>
    <w:p w14:paraId="39073848" w14:textId="77777777" w:rsidR="00F2643D" w:rsidRPr="008951BD" w:rsidRDefault="00F2643D" w:rsidP="00F2643D">
      <w:pPr>
        <w:tabs>
          <w:tab w:val="left" w:pos="3760"/>
        </w:tabs>
        <w:ind w:right="-1044"/>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 xml:space="preserve">2021.gada </w:t>
      </w:r>
      <w:r>
        <w:rPr>
          <w:rFonts w:eastAsia="Arial Unicode MS"/>
          <w:i/>
          <w:szCs w:val="24"/>
          <w:lang w:eastAsia="lv-LV"/>
        </w:rPr>
        <w:t>15</w:t>
      </w:r>
      <w:r w:rsidRPr="00AB3184">
        <w:rPr>
          <w:rFonts w:eastAsia="Arial Unicode MS"/>
          <w:i/>
          <w:szCs w:val="24"/>
          <w:lang w:eastAsia="lv-LV"/>
        </w:rPr>
        <w:t>.</w:t>
      </w:r>
      <w:r>
        <w:rPr>
          <w:rFonts w:eastAsia="Arial Unicode MS"/>
          <w:i/>
          <w:szCs w:val="24"/>
          <w:lang w:eastAsia="lv-LV"/>
        </w:rPr>
        <w:t>febru</w:t>
      </w:r>
      <w:r w:rsidRPr="00AB3184">
        <w:rPr>
          <w:rFonts w:eastAsia="Arial Unicode MS"/>
          <w:i/>
          <w:szCs w:val="24"/>
          <w:lang w:eastAsia="lv-LV"/>
        </w:rPr>
        <w:t>āra</w:t>
      </w:r>
      <w:r w:rsidRPr="008951BD">
        <w:rPr>
          <w:rFonts w:eastAsia="Arial Unicode MS"/>
          <w:i/>
          <w:szCs w:val="24"/>
          <w:lang w:eastAsia="lv-LV"/>
        </w:rPr>
        <w:t xml:space="preserve"> </w:t>
      </w:r>
    </w:p>
    <w:p w14:paraId="6506F2ED" w14:textId="77777777" w:rsidR="00F2643D" w:rsidRDefault="00F2643D" w:rsidP="00F2643D">
      <w:pPr>
        <w:ind w:right="-104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3</w:t>
      </w:r>
    </w:p>
    <w:p w14:paraId="56A266F5" w14:textId="77777777" w:rsidR="00F2643D" w:rsidRDefault="00F2643D" w:rsidP="00F2643D">
      <w:pPr>
        <w:ind w:right="-1044"/>
        <w:jc w:val="right"/>
        <w:rPr>
          <w:rFonts w:eastAsia="Arial Unicode MS"/>
          <w:i/>
          <w:szCs w:val="24"/>
          <w:lang w:eastAsia="lv-LV"/>
        </w:rPr>
      </w:pPr>
    </w:p>
    <w:p w14:paraId="2F549E52" w14:textId="77777777" w:rsidR="00F2643D" w:rsidRPr="00831ADF" w:rsidRDefault="00F2643D" w:rsidP="00F2643D">
      <w:pPr>
        <w:jc w:val="center"/>
        <w:rPr>
          <w:b/>
        </w:rPr>
      </w:pPr>
      <w:r w:rsidRPr="00831ADF">
        <w:rPr>
          <w:b/>
        </w:rPr>
        <w:t>VAS </w:t>
      </w:r>
      <w:r w:rsidRPr="00831ADF">
        <w:rPr>
          <w:b/>
          <w:color w:val="222222"/>
        </w:rPr>
        <w:t>„</w:t>
      </w:r>
      <w:r w:rsidRPr="00831ADF">
        <w:rPr>
          <w:b/>
        </w:rPr>
        <w:t xml:space="preserve">Latvijas dzelzceļš” </w:t>
      </w:r>
    </w:p>
    <w:p w14:paraId="5C4A770B" w14:textId="77777777" w:rsidR="00F2643D" w:rsidRPr="00831ADF" w:rsidRDefault="00F2643D" w:rsidP="00F2643D">
      <w:pPr>
        <w:ind w:left="142" w:right="-1"/>
        <w:jc w:val="center"/>
        <w:rPr>
          <w:b/>
        </w:rPr>
      </w:pPr>
      <w:r w:rsidRPr="00831ADF">
        <w:rPr>
          <w:b/>
        </w:rPr>
        <w:t>sarunu procedūras ar publikāciju</w:t>
      </w:r>
    </w:p>
    <w:p w14:paraId="2FC5D73C" w14:textId="77777777" w:rsidR="00F2643D" w:rsidRPr="00831ADF" w:rsidRDefault="00F2643D" w:rsidP="00F2643D">
      <w:pPr>
        <w:jc w:val="center"/>
        <w:rPr>
          <w:rFonts w:eastAsia="Calibri"/>
          <w:b/>
          <w:bCs/>
        </w:rPr>
      </w:pPr>
      <w:r w:rsidRPr="00831ADF">
        <w:rPr>
          <w:b/>
          <w:bCs/>
          <w:color w:val="222222"/>
        </w:rPr>
        <w:t>„</w:t>
      </w:r>
      <w:r w:rsidRPr="00831ADF">
        <w:rPr>
          <w:b/>
          <w:bCs/>
        </w:rPr>
        <w:t>Datortehnikas piegāde „Latvijas dzelzceļš” koncerna vajadzībām”</w:t>
      </w:r>
    </w:p>
    <w:p w14:paraId="53DEE466" w14:textId="77777777" w:rsidR="00F2643D" w:rsidRPr="00831ADF" w:rsidRDefault="00F2643D" w:rsidP="00F2643D">
      <w:pPr>
        <w:jc w:val="center"/>
        <w:rPr>
          <w:rFonts w:eastAsia="Calibri"/>
        </w:rPr>
      </w:pPr>
      <w:r w:rsidRPr="00831ADF">
        <w:rPr>
          <w:rFonts w:eastAsia="Calibri"/>
        </w:rPr>
        <w:t>(turpmāk – sarunu procedūra)</w:t>
      </w:r>
    </w:p>
    <w:p w14:paraId="28ED0176" w14:textId="77777777" w:rsidR="00F2643D" w:rsidRPr="00831ADF" w:rsidRDefault="00F2643D" w:rsidP="00F2643D">
      <w:pPr>
        <w:ind w:left="284" w:right="282"/>
        <w:rPr>
          <w:rFonts w:eastAsia="Calibri"/>
        </w:rPr>
      </w:pPr>
    </w:p>
    <w:p w14:paraId="275DCEA1" w14:textId="77777777" w:rsidR="00F2643D" w:rsidRPr="00831ADF" w:rsidRDefault="00F2643D" w:rsidP="00F2643D">
      <w:pPr>
        <w:ind w:left="284" w:right="282"/>
        <w:jc w:val="center"/>
        <w:rPr>
          <w:rFonts w:eastAsia="Calibri"/>
          <w:b/>
        </w:rPr>
      </w:pPr>
      <w:r w:rsidRPr="00831ADF">
        <w:rPr>
          <w:rFonts w:eastAsia="Calibri"/>
          <w:b/>
        </w:rPr>
        <w:t>Skaidrojums Nr.</w:t>
      </w:r>
      <w:r>
        <w:rPr>
          <w:rFonts w:eastAsia="Calibri"/>
          <w:b/>
        </w:rPr>
        <w:t>2</w:t>
      </w:r>
    </w:p>
    <w:p w14:paraId="54CCCA42" w14:textId="77777777" w:rsidR="00F2643D" w:rsidRPr="00B93167" w:rsidRDefault="00F2643D" w:rsidP="00F2643D">
      <w:pPr>
        <w:ind w:left="284" w:right="282"/>
        <w:jc w:val="center"/>
        <w:rPr>
          <w:rFonts w:eastAsia="Calibri"/>
          <w:b/>
          <w:highlight w:val="yellow"/>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5"/>
        <w:gridCol w:w="5245"/>
      </w:tblGrid>
      <w:tr w:rsidR="00F2643D" w:rsidRPr="00B93167" w14:paraId="4CB35759" w14:textId="77777777" w:rsidTr="00F2643D">
        <w:trPr>
          <w:trHeight w:val="655"/>
        </w:trPr>
        <w:tc>
          <w:tcPr>
            <w:tcW w:w="709" w:type="dxa"/>
            <w:shd w:val="clear" w:color="auto" w:fill="FFF2CC"/>
            <w:vAlign w:val="center"/>
          </w:tcPr>
          <w:p w14:paraId="4F7822AA" w14:textId="77777777" w:rsidR="00F2643D" w:rsidRPr="006A4478" w:rsidRDefault="00F2643D" w:rsidP="00ED4EEF">
            <w:pPr>
              <w:jc w:val="center"/>
              <w:rPr>
                <w:rFonts w:eastAsia="Calibri"/>
                <w:b/>
              </w:rPr>
            </w:pPr>
            <w:r w:rsidRPr="006A4478">
              <w:rPr>
                <w:rFonts w:eastAsia="Calibri"/>
                <w:b/>
              </w:rPr>
              <w:t>Nr.</w:t>
            </w:r>
          </w:p>
          <w:p w14:paraId="4ED6A1AF" w14:textId="77777777" w:rsidR="00F2643D" w:rsidRPr="006A4478" w:rsidRDefault="00F2643D" w:rsidP="00ED4EEF">
            <w:pPr>
              <w:jc w:val="center"/>
              <w:rPr>
                <w:rFonts w:eastAsia="Calibri"/>
                <w:b/>
              </w:rPr>
            </w:pPr>
            <w:r w:rsidRPr="006A4478">
              <w:rPr>
                <w:rFonts w:eastAsia="Calibri"/>
                <w:b/>
              </w:rPr>
              <w:t>p.k.</w:t>
            </w:r>
          </w:p>
        </w:tc>
        <w:tc>
          <w:tcPr>
            <w:tcW w:w="4395" w:type="dxa"/>
            <w:shd w:val="clear" w:color="auto" w:fill="FFF2CC"/>
            <w:vAlign w:val="center"/>
          </w:tcPr>
          <w:p w14:paraId="1B058CD2" w14:textId="77777777" w:rsidR="00F2643D" w:rsidRPr="006A4478" w:rsidRDefault="00F2643D" w:rsidP="00ED4EEF">
            <w:pPr>
              <w:jc w:val="center"/>
              <w:rPr>
                <w:rFonts w:eastAsia="Calibri"/>
                <w:b/>
                <w:i/>
              </w:rPr>
            </w:pPr>
            <w:r w:rsidRPr="006A4478">
              <w:rPr>
                <w:rFonts w:eastAsia="Calibri"/>
                <w:b/>
                <w:i/>
              </w:rPr>
              <w:t>Jautājums</w:t>
            </w:r>
          </w:p>
        </w:tc>
        <w:tc>
          <w:tcPr>
            <w:tcW w:w="5245" w:type="dxa"/>
            <w:shd w:val="clear" w:color="auto" w:fill="FFF2CC"/>
            <w:vAlign w:val="center"/>
          </w:tcPr>
          <w:p w14:paraId="3EF80A63" w14:textId="77777777" w:rsidR="00F2643D" w:rsidRPr="006A4478" w:rsidRDefault="00F2643D" w:rsidP="00ED4EEF">
            <w:pPr>
              <w:jc w:val="center"/>
              <w:rPr>
                <w:rFonts w:eastAsia="Calibri"/>
                <w:b/>
                <w:i/>
              </w:rPr>
            </w:pPr>
            <w:r w:rsidRPr="006A4478">
              <w:rPr>
                <w:rFonts w:eastAsia="Calibri"/>
                <w:b/>
                <w:i/>
              </w:rPr>
              <w:t>Atbilde</w:t>
            </w:r>
          </w:p>
        </w:tc>
      </w:tr>
      <w:tr w:rsidR="00F2643D" w:rsidRPr="00B93167" w14:paraId="17D5D0AB" w14:textId="77777777" w:rsidTr="00F2643D">
        <w:trPr>
          <w:trHeight w:val="2384"/>
        </w:trPr>
        <w:tc>
          <w:tcPr>
            <w:tcW w:w="709" w:type="dxa"/>
            <w:shd w:val="clear" w:color="auto" w:fill="auto"/>
          </w:tcPr>
          <w:p w14:paraId="172AD3F1" w14:textId="77777777" w:rsidR="00F2643D" w:rsidRPr="006A4478" w:rsidRDefault="00F2643D" w:rsidP="00ED4EEF">
            <w:pPr>
              <w:jc w:val="center"/>
              <w:rPr>
                <w:rFonts w:eastAsia="Calibri"/>
              </w:rPr>
            </w:pPr>
            <w:r w:rsidRPr="006A4478">
              <w:rPr>
                <w:rFonts w:eastAsia="Calibri"/>
              </w:rPr>
              <w:t>1.</w:t>
            </w:r>
          </w:p>
        </w:tc>
        <w:tc>
          <w:tcPr>
            <w:tcW w:w="4395" w:type="dxa"/>
            <w:shd w:val="clear" w:color="auto" w:fill="auto"/>
          </w:tcPr>
          <w:p w14:paraId="61117986" w14:textId="77777777" w:rsidR="00F2643D" w:rsidRPr="006A4478" w:rsidRDefault="00F2643D" w:rsidP="00ED4EEF">
            <w:r w:rsidRPr="006A4478">
              <w:t xml:space="preserve">Nolikuma 6.4. punktā minēts: </w:t>
            </w:r>
            <w:r w:rsidRPr="006A4478">
              <w:rPr>
                <w:color w:val="222222"/>
              </w:rPr>
              <w:t>„</w:t>
            </w:r>
            <w:r w:rsidRPr="006A4478">
              <w:rPr>
                <w:i/>
              </w:rPr>
              <w:t>Iepirkuma ietvaros var tikt paredzētas atkārtotas piedāvājumu iesniegšanas. Šajā gadījumā atkārtoto iesniegto piedāvājumu atvēršana ir atklāta</w:t>
            </w:r>
            <w:r w:rsidRPr="006A4478">
              <w:t>.” Vēlamies precizēt vai šai sarunu procedūrai ir paredzētas 2 piedāvājumu iesniegšanas kārtas?</w:t>
            </w:r>
          </w:p>
          <w:p w14:paraId="766FF3A0" w14:textId="77777777" w:rsidR="00F2643D" w:rsidRPr="006A4478" w:rsidRDefault="00F2643D" w:rsidP="00ED4EEF">
            <w:pPr>
              <w:rPr>
                <w:b/>
                <w:bCs/>
              </w:rPr>
            </w:pPr>
          </w:p>
        </w:tc>
        <w:tc>
          <w:tcPr>
            <w:tcW w:w="5245" w:type="dxa"/>
            <w:shd w:val="clear" w:color="auto" w:fill="auto"/>
          </w:tcPr>
          <w:p w14:paraId="3FE23B2F" w14:textId="77777777" w:rsidR="00F2643D" w:rsidRPr="003A0A08" w:rsidRDefault="00F2643D" w:rsidP="00ED4EEF">
            <w:pPr>
              <w:pStyle w:val="Sarakstarindkopa"/>
              <w:tabs>
                <w:tab w:val="left" w:pos="567"/>
                <w:tab w:val="left" w:pos="993"/>
              </w:tabs>
              <w:ind w:left="0"/>
              <w:jc w:val="both"/>
              <w:rPr>
                <w:sz w:val="24"/>
                <w:szCs w:val="24"/>
              </w:rPr>
            </w:pPr>
            <w:r w:rsidRPr="003A0A08">
              <w:rPr>
                <w:sz w:val="24"/>
                <w:szCs w:val="24"/>
              </w:rPr>
              <w:t xml:space="preserve">Skaidrojam, ka </w:t>
            </w:r>
            <w:r>
              <w:rPr>
                <w:sz w:val="24"/>
                <w:szCs w:val="24"/>
              </w:rPr>
              <w:t xml:space="preserve">piedāvājumu iesniegšanai sarunu procedūrā nav paredzētas divas kārtas, bet norādām, ka </w:t>
            </w:r>
            <w:r w:rsidRPr="003A0A08">
              <w:rPr>
                <w:sz w:val="24"/>
                <w:szCs w:val="24"/>
              </w:rPr>
              <w:t>saskaņā ar sarunu procedūras nolikuma 5.2.5.punktu, gadījumā, ja pretendentu piedāvājumi pircējam nav izdevīgi, komisija ir tiesīga pirms lēmuma par sarunu procedūras rezultātu pieņemšanas piedāvāt visiem pretendentiem, kuri iesnieguši sarunu procedūras nolikuma prasībām atbilstošus piedāvājumus, samazināt piedāvājuma cenu</w:t>
            </w:r>
            <w:r>
              <w:rPr>
                <w:sz w:val="24"/>
                <w:szCs w:val="24"/>
              </w:rPr>
              <w:t>,</w:t>
            </w:r>
            <w:r w:rsidRPr="003A0A08">
              <w:rPr>
                <w:sz w:val="24"/>
                <w:szCs w:val="24"/>
              </w:rPr>
              <w:t xml:space="preserve"> grozot vai negrozot Tehnisko specifikāciju un, lūdzot iesniegt jaunu finanšu piedāvājumu sarunu procedūrā. Attiecīgi, minētājā gadījumā atbilstoši sarunu procedūras nolikuma 6.4</w:t>
            </w:r>
            <w:r>
              <w:rPr>
                <w:sz w:val="24"/>
                <w:szCs w:val="24"/>
              </w:rPr>
              <w:t>.</w:t>
            </w:r>
            <w:r w:rsidRPr="003A0A08">
              <w:rPr>
                <w:sz w:val="24"/>
                <w:szCs w:val="24"/>
              </w:rPr>
              <w:t>punktam var tikt paredzēta atkārtota piedāvājumu iesniegšanas sēde.</w:t>
            </w:r>
          </w:p>
          <w:p w14:paraId="65054FDD" w14:textId="77777777" w:rsidR="00F2643D" w:rsidRPr="000B76BC" w:rsidRDefault="00F2643D" w:rsidP="00ED4EEF">
            <w:pPr>
              <w:rPr>
                <w:rFonts w:eastAsia="Times New Roman"/>
                <w:sz w:val="20"/>
                <w:szCs w:val="20"/>
              </w:rPr>
            </w:pPr>
            <w:r>
              <w:t xml:space="preserve">Vienlaikus vēršam uzmanību, ka </w:t>
            </w:r>
            <w:r w:rsidRPr="000419EE">
              <w:rPr>
                <w:rFonts w:eastAsia="Times New Roman"/>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0419EE">
              <w:rPr>
                <w:rFonts w:eastAsia="Times New Roman"/>
              </w:rPr>
              <w:t>koronvīrusa</w:t>
            </w:r>
            <w:proofErr w:type="spellEnd"/>
            <w:r w:rsidRPr="000419EE">
              <w:rPr>
                <w:rFonts w:eastAsia="Times New Roman"/>
              </w:rPr>
              <w:t xml:space="preserve"> transportēšanu un inficēšanos, kā tas noteikts arī sarunu procedūras nolikumā</w:t>
            </w:r>
            <w:r>
              <w:rPr>
                <w:rFonts w:eastAsia="Times New Roman"/>
              </w:rPr>
              <w:t xml:space="preserve"> (</w:t>
            </w:r>
            <w:r w:rsidRPr="00CD61ED">
              <w:rPr>
                <w:rFonts w:eastAsia="Times New Roman"/>
                <w:i/>
                <w:iCs/>
              </w:rPr>
              <w:t xml:space="preserve">sk. </w:t>
            </w:r>
            <w:r w:rsidRPr="00CD61ED">
              <w:rPr>
                <w:i/>
                <w:iCs/>
              </w:rPr>
              <w:t>nolikuma pirmo un ceturto apakšatsauci</w:t>
            </w:r>
            <w:r>
              <w:rPr>
                <w:rFonts w:eastAsia="Times New Roman"/>
              </w:rPr>
              <w:t>)</w:t>
            </w:r>
            <w:r w:rsidRPr="000419EE">
              <w:rPr>
                <w:rFonts w:eastAsia="Times New Roman"/>
              </w:rPr>
              <w:t xml:space="preserve"> un Ministru kabineta 2020.gada 6.novembra rīkojumā Nr.655 </w:t>
            </w:r>
            <w:r w:rsidRPr="0038674A">
              <w:rPr>
                <w:color w:val="222222"/>
              </w:rPr>
              <w:t>„</w:t>
            </w:r>
            <w:r w:rsidRPr="000419EE">
              <w:rPr>
                <w:rFonts w:eastAsia="Times New Roman"/>
              </w:rPr>
              <w:t xml:space="preserve">Par ārkārtējās situācijas izsludināšanu”, VAS </w:t>
            </w:r>
            <w:r w:rsidRPr="0038674A">
              <w:rPr>
                <w:color w:val="222222"/>
              </w:rPr>
              <w:t>„</w:t>
            </w:r>
            <w:r w:rsidRPr="000419EE">
              <w:rPr>
                <w:rFonts w:eastAsia="Times New Roman"/>
              </w:rPr>
              <w:t>Latvijas dzelzceļš” 2020.gada 11.novembra valdes lēmumā Nr. VL-69/442 par ārkārtas situāciju uzņēmumā, sarunu procedūras piedāvājumu atvēršanas sanāksme</w:t>
            </w:r>
            <w:r>
              <w:rPr>
                <w:rFonts w:eastAsia="Times New Roman"/>
              </w:rPr>
              <w:t xml:space="preserve">, </w:t>
            </w:r>
            <w:r>
              <w:t xml:space="preserve">t.sk., arī gadījumā, ja tiks organizēta </w:t>
            </w:r>
            <w:r w:rsidRPr="000B76BC">
              <w:rPr>
                <w:iCs/>
              </w:rPr>
              <w:t>atkārtota iesniegto piedāvājumu atvēršanas s</w:t>
            </w:r>
            <w:r>
              <w:rPr>
                <w:iCs/>
              </w:rPr>
              <w:t>anāksme</w:t>
            </w:r>
            <w:r>
              <w:rPr>
                <w:i/>
              </w:rPr>
              <w:t xml:space="preserve"> – </w:t>
            </w:r>
            <w:r w:rsidRPr="00CD61ED">
              <w:rPr>
                <w:rFonts w:eastAsia="Times New Roman"/>
                <w:b/>
                <w:bCs/>
                <w:u w:val="single"/>
              </w:rPr>
              <w:t>nav atklāta</w:t>
            </w:r>
            <w:r>
              <w:rPr>
                <w:rFonts w:eastAsia="Times New Roman"/>
              </w:rPr>
              <w:t xml:space="preserve">, proti, </w:t>
            </w:r>
            <w:r w:rsidRPr="000419EE">
              <w:rPr>
                <w:rFonts w:eastAsia="Times New Roman"/>
              </w:rPr>
              <w:t>pretendentu pārstāvji tajā nepiedalās.</w:t>
            </w:r>
          </w:p>
        </w:tc>
      </w:tr>
      <w:tr w:rsidR="00F2643D" w:rsidRPr="00B93167" w14:paraId="7A646B27" w14:textId="77777777" w:rsidTr="00F2643D">
        <w:trPr>
          <w:trHeight w:val="1677"/>
        </w:trPr>
        <w:tc>
          <w:tcPr>
            <w:tcW w:w="709" w:type="dxa"/>
            <w:shd w:val="clear" w:color="auto" w:fill="auto"/>
          </w:tcPr>
          <w:p w14:paraId="00B2DB82" w14:textId="77777777" w:rsidR="00F2643D" w:rsidRPr="006A4478" w:rsidRDefault="00F2643D" w:rsidP="00ED4EEF">
            <w:pPr>
              <w:jc w:val="center"/>
              <w:rPr>
                <w:rFonts w:eastAsia="Calibri"/>
              </w:rPr>
            </w:pPr>
            <w:r w:rsidRPr="006A4478">
              <w:rPr>
                <w:rFonts w:eastAsia="Calibri"/>
              </w:rPr>
              <w:lastRenderedPageBreak/>
              <w:t>2.</w:t>
            </w:r>
          </w:p>
        </w:tc>
        <w:tc>
          <w:tcPr>
            <w:tcW w:w="4395" w:type="dxa"/>
            <w:shd w:val="clear" w:color="auto" w:fill="auto"/>
          </w:tcPr>
          <w:p w14:paraId="689BC438" w14:textId="77777777" w:rsidR="00F2643D" w:rsidRPr="006A4478" w:rsidRDefault="00F2643D" w:rsidP="00ED4EEF">
            <w:r w:rsidRPr="006A4478">
              <w:t xml:space="preserve">Atsaucoties uz Pasūtītāja sniegto skaidrojumu Nr.1, vēlamies precizēt, vai tiešām </w:t>
            </w:r>
            <w:proofErr w:type="spellStart"/>
            <w:r w:rsidRPr="006A4478">
              <w:t>Smart</w:t>
            </w:r>
            <w:proofErr w:type="spellEnd"/>
            <w:r w:rsidRPr="006A4478">
              <w:t xml:space="preserve"> </w:t>
            </w:r>
            <w:proofErr w:type="spellStart"/>
            <w:r w:rsidRPr="006A4478">
              <w:t>card</w:t>
            </w:r>
            <w:proofErr w:type="spellEnd"/>
            <w:r w:rsidRPr="006A4478">
              <w:t xml:space="preserve"> </w:t>
            </w:r>
            <w:proofErr w:type="spellStart"/>
            <w:r w:rsidRPr="006A4478">
              <w:t>reader</w:t>
            </w:r>
            <w:proofErr w:type="spellEnd"/>
            <w:r w:rsidRPr="006A4478">
              <w:t xml:space="preserve"> drīkst realizēt izmantojot ārējo </w:t>
            </w:r>
            <w:proofErr w:type="spellStart"/>
            <w:r w:rsidRPr="006A4478">
              <w:t>Smart</w:t>
            </w:r>
            <w:proofErr w:type="spellEnd"/>
            <w:r w:rsidRPr="006A4478">
              <w:t xml:space="preserve"> </w:t>
            </w:r>
            <w:proofErr w:type="spellStart"/>
            <w:r w:rsidRPr="006A4478">
              <w:t>Card</w:t>
            </w:r>
            <w:proofErr w:type="spellEnd"/>
            <w:r w:rsidRPr="006A4478">
              <w:t xml:space="preserve"> </w:t>
            </w:r>
            <w:proofErr w:type="spellStart"/>
            <w:r w:rsidRPr="006A4478">
              <w:t>reader</w:t>
            </w:r>
            <w:proofErr w:type="spellEnd"/>
            <w:r w:rsidRPr="006A4478">
              <w:t xml:space="preserve">?  Praktiskāk un ērtāk būtu izmantot iebūvētu </w:t>
            </w:r>
            <w:proofErr w:type="spellStart"/>
            <w:r w:rsidRPr="006A4478">
              <w:t>Smart</w:t>
            </w:r>
            <w:proofErr w:type="spellEnd"/>
            <w:r w:rsidRPr="006A4478">
              <w:t xml:space="preserve"> </w:t>
            </w:r>
            <w:proofErr w:type="spellStart"/>
            <w:r w:rsidRPr="006A4478">
              <w:t>card</w:t>
            </w:r>
            <w:proofErr w:type="spellEnd"/>
            <w:r w:rsidRPr="006A4478">
              <w:t xml:space="preserve"> lasītāju.</w:t>
            </w:r>
          </w:p>
        </w:tc>
        <w:tc>
          <w:tcPr>
            <w:tcW w:w="5245" w:type="dxa"/>
            <w:shd w:val="clear" w:color="auto" w:fill="auto"/>
          </w:tcPr>
          <w:p w14:paraId="3AC388D0" w14:textId="77777777" w:rsidR="00F2643D" w:rsidRPr="006A4478" w:rsidRDefault="00F2643D" w:rsidP="00ED4EEF">
            <w:pPr>
              <w:ind w:left="35"/>
            </w:pPr>
            <w:r w:rsidRPr="006A4478">
              <w:t xml:space="preserve">Skaidrojam, ka </w:t>
            </w:r>
            <w:proofErr w:type="spellStart"/>
            <w:r w:rsidRPr="006A4478">
              <w:t>Smart</w:t>
            </w:r>
            <w:proofErr w:type="spellEnd"/>
            <w:r w:rsidRPr="006A4478">
              <w:t xml:space="preserve"> </w:t>
            </w:r>
            <w:proofErr w:type="spellStart"/>
            <w:r w:rsidRPr="006A4478">
              <w:t>card</w:t>
            </w:r>
            <w:proofErr w:type="spellEnd"/>
            <w:r w:rsidRPr="006A4478">
              <w:t xml:space="preserve"> </w:t>
            </w:r>
            <w:proofErr w:type="spellStart"/>
            <w:r w:rsidRPr="006A4478">
              <w:t>reader</w:t>
            </w:r>
            <w:proofErr w:type="spellEnd"/>
            <w:r w:rsidRPr="006A4478">
              <w:t xml:space="preserve"> drīkst realizēt, izmantojot ārējo </w:t>
            </w:r>
            <w:proofErr w:type="spellStart"/>
            <w:r w:rsidRPr="006A4478">
              <w:t>Smart</w:t>
            </w:r>
            <w:proofErr w:type="spellEnd"/>
            <w:r w:rsidRPr="006A4478">
              <w:t xml:space="preserve"> </w:t>
            </w:r>
            <w:proofErr w:type="spellStart"/>
            <w:r w:rsidRPr="006A4478">
              <w:t>Card</w:t>
            </w:r>
            <w:proofErr w:type="spellEnd"/>
            <w:r w:rsidRPr="006A4478">
              <w:t xml:space="preserve"> </w:t>
            </w:r>
            <w:proofErr w:type="spellStart"/>
            <w:r w:rsidRPr="006A4478">
              <w:t>reader</w:t>
            </w:r>
            <w:proofErr w:type="spellEnd"/>
            <w:r w:rsidRPr="006A4478">
              <w:t>. Ja pretendents spēj nodrošināt iebūvētu risinājumu atbilstoši sarunu procedūras nolikuma tehniskajām prasībām par konkurētspējīgu cenu, tā ir uzskatāma par priekšrocību.</w:t>
            </w:r>
          </w:p>
        </w:tc>
      </w:tr>
    </w:tbl>
    <w:p w14:paraId="796F9DF7" w14:textId="77777777" w:rsidR="00F2643D" w:rsidRPr="00C20434" w:rsidRDefault="00F2643D" w:rsidP="00F2643D">
      <w:pPr>
        <w:rPr>
          <w:rFonts w:ascii="Arial" w:hAnsi="Arial" w:cs="Arial"/>
        </w:rPr>
      </w:pPr>
    </w:p>
    <w:p w14:paraId="4A0C1506" w14:textId="77777777" w:rsidR="00F2643D" w:rsidRDefault="00F2643D" w:rsidP="00F2643D">
      <w:pPr>
        <w:ind w:right="-1044"/>
        <w:jc w:val="right"/>
        <w:rPr>
          <w:rFonts w:eastAsia="Arial Unicode MS"/>
          <w:i/>
          <w:szCs w:val="24"/>
          <w:lang w:eastAsia="lv-LV"/>
        </w:rPr>
      </w:pPr>
    </w:p>
    <w:p w14:paraId="4C8F709A" w14:textId="77777777" w:rsidR="0098236C" w:rsidRPr="00C20434" w:rsidRDefault="0098236C">
      <w:pPr>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1002AFF" w:usb1="4000ACFF"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3D"/>
    <w:rsid w:val="003204EA"/>
    <w:rsid w:val="007514B3"/>
    <w:rsid w:val="0098236C"/>
    <w:rsid w:val="00C20434"/>
    <w:rsid w:val="00F264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740E"/>
  <w15:chartTrackingRefBased/>
  <w15:docId w15:val="{5C08DC20-9756-4870-8CE5-207F93DA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643D"/>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F2643D"/>
    <w:rPr>
      <w:rFonts w:ascii="Times New Roman" w:eastAsia="Calibri" w:hAnsi="Times New Roman" w:cs="Times New Roman"/>
      <w:sz w:val="20"/>
      <w:szCs w:val="20"/>
      <w:lang w:eastAsia="lv-LV"/>
    </w:rPr>
  </w:style>
  <w:style w:type="paragraph" w:styleId="Sarakstarindkopa">
    <w:name w:val="List Paragraph"/>
    <w:aliases w:val="H&amp;P List Paragraph,2,Strip,Normal bullet 2,Bullet list,Saistīto dokumentu saraksts,PPS_Bullet,Syle 1,Numurets,Virsraksti,List Paragraph1,List Paragraph 1,Bullets,Numbered List,Paragraph,Bullet point 1"/>
    <w:basedOn w:val="Parasts"/>
    <w:link w:val="SarakstarindkopaRakstz"/>
    <w:uiPriority w:val="34"/>
    <w:qFormat/>
    <w:rsid w:val="00F2643D"/>
    <w:pPr>
      <w:ind w:left="720"/>
      <w:contextualSpacing/>
      <w:jc w:val="left"/>
    </w:pPr>
    <w:rPr>
      <w:rFonts w:eastAsia="Calibri"/>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1599</Words>
  <Characters>912</Characters>
  <Application>Microsoft Office Word</Application>
  <DocSecurity>0</DocSecurity>
  <Lines>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2021-02-15T13:18:00Z</dcterms:created>
  <dcterms:modified xsi:type="dcterms:W3CDTF">2021-02-15T13:18:00Z</dcterms:modified>
</cp:coreProperties>
</file>