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C4F9A" w14:textId="77777777" w:rsidR="007F19F9" w:rsidRPr="008951BD" w:rsidRDefault="007F19F9" w:rsidP="007F19F9">
      <w:pPr>
        <w:tabs>
          <w:tab w:val="left" w:pos="3760"/>
        </w:tabs>
        <w:ind w:left="-284" w:right="-784" w:firstLine="4395"/>
        <w:jc w:val="right"/>
        <w:rPr>
          <w:rFonts w:eastAsia="Calibri"/>
          <w:i/>
          <w:szCs w:val="24"/>
          <w:lang w:eastAsia="lv-LV"/>
        </w:rPr>
      </w:pPr>
      <w:r w:rsidRPr="008951BD">
        <w:rPr>
          <w:rFonts w:eastAsia="Calibri"/>
          <w:i/>
          <w:szCs w:val="24"/>
          <w:lang w:eastAsia="lv-LV"/>
        </w:rPr>
        <w:t>APSTIPRINĀTS:</w:t>
      </w:r>
    </w:p>
    <w:p w14:paraId="0A566E36" w14:textId="77EF1EE7" w:rsidR="007F19F9" w:rsidRPr="008951BD" w:rsidRDefault="007F19F9" w:rsidP="007F19F9">
      <w:pPr>
        <w:tabs>
          <w:tab w:val="left" w:pos="3760"/>
        </w:tabs>
        <w:ind w:right="-78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Pr>
          <w:rFonts w:eastAsia="Arial Unicode MS"/>
          <w:i/>
          <w:szCs w:val="24"/>
          <w:lang w:eastAsia="lv-LV"/>
        </w:rPr>
        <w:t>12.oktobra</w:t>
      </w:r>
      <w:r w:rsidRPr="008951BD">
        <w:rPr>
          <w:rFonts w:eastAsia="Arial Unicode MS"/>
          <w:i/>
          <w:szCs w:val="24"/>
          <w:lang w:eastAsia="lv-LV"/>
        </w:rPr>
        <w:t xml:space="preserve"> </w:t>
      </w:r>
    </w:p>
    <w:p w14:paraId="30CEC7FD" w14:textId="201B8904" w:rsidR="007F19F9" w:rsidRDefault="007F19F9" w:rsidP="007F19F9">
      <w:pPr>
        <w:ind w:right="-78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1E35943B" w14:textId="5B641573" w:rsidR="0098236C" w:rsidRDefault="0098236C" w:rsidP="007F19F9">
      <w:pPr>
        <w:ind w:right="-784"/>
        <w:rPr>
          <w:rFonts w:ascii="Arial" w:hAnsi="Arial" w:cs="Arial"/>
        </w:rPr>
      </w:pPr>
    </w:p>
    <w:p w14:paraId="2997C30E" w14:textId="3E22C79A" w:rsidR="007F19F9" w:rsidRDefault="007F19F9">
      <w:pPr>
        <w:rPr>
          <w:rFonts w:ascii="Arial" w:hAnsi="Arial" w:cs="Arial"/>
        </w:rPr>
      </w:pPr>
    </w:p>
    <w:p w14:paraId="57503EC7" w14:textId="3C853E59" w:rsidR="007F19F9" w:rsidRDefault="007F19F9">
      <w:pPr>
        <w:rPr>
          <w:rFonts w:ascii="Arial" w:hAnsi="Arial" w:cs="Arial"/>
        </w:rPr>
      </w:pPr>
    </w:p>
    <w:p w14:paraId="6EA97F33" w14:textId="77777777" w:rsidR="007F19F9" w:rsidRPr="006D0793" w:rsidRDefault="007F19F9" w:rsidP="007F19F9">
      <w:pPr>
        <w:jc w:val="center"/>
        <w:rPr>
          <w:b/>
        </w:rPr>
      </w:pPr>
      <w:r w:rsidRPr="006D0793">
        <w:rPr>
          <w:b/>
        </w:rPr>
        <w:t>VAS </w:t>
      </w:r>
      <w:r w:rsidRPr="006D0793">
        <w:rPr>
          <w:b/>
          <w:color w:val="222222"/>
        </w:rPr>
        <w:t>„</w:t>
      </w:r>
      <w:r w:rsidRPr="006D0793">
        <w:rPr>
          <w:b/>
        </w:rPr>
        <w:t>Latvijas dzelzceļš”</w:t>
      </w:r>
    </w:p>
    <w:p w14:paraId="7781B884" w14:textId="77777777" w:rsidR="007F19F9" w:rsidRPr="006D0793" w:rsidRDefault="007F19F9" w:rsidP="007F19F9">
      <w:pPr>
        <w:ind w:left="142" w:right="-1"/>
        <w:jc w:val="center"/>
        <w:rPr>
          <w:b/>
        </w:rPr>
      </w:pPr>
      <w:r w:rsidRPr="006D0793">
        <w:rPr>
          <w:b/>
        </w:rPr>
        <w:t>sarunu procedūras ar publikāciju</w:t>
      </w:r>
    </w:p>
    <w:p w14:paraId="46909CDC" w14:textId="77777777" w:rsidR="007F19F9" w:rsidRPr="006D0793" w:rsidRDefault="007F19F9" w:rsidP="007F19F9">
      <w:pPr>
        <w:ind w:left="284" w:right="282"/>
        <w:jc w:val="center"/>
        <w:rPr>
          <w:b/>
          <w:bCs/>
          <w:color w:val="222222"/>
          <w:szCs w:val="24"/>
        </w:rPr>
      </w:pPr>
      <w:r w:rsidRPr="006D0793">
        <w:rPr>
          <w:b/>
          <w:bCs/>
          <w:color w:val="222222"/>
          <w:szCs w:val="24"/>
        </w:rPr>
        <w:t>„</w:t>
      </w:r>
      <w:r w:rsidRPr="006D0793">
        <w:rPr>
          <w:b/>
          <w:bCs/>
          <w:szCs w:val="24"/>
        </w:rPr>
        <w:t>Dabasgāzes piegāde „Latvijas dzelzceļš” koncerna vajadzībām</w:t>
      </w:r>
      <w:r w:rsidRPr="006D0793">
        <w:rPr>
          <w:b/>
          <w:bCs/>
          <w:color w:val="222222"/>
          <w:szCs w:val="24"/>
        </w:rPr>
        <w:t>”</w:t>
      </w:r>
    </w:p>
    <w:p w14:paraId="34DE75F8" w14:textId="77777777" w:rsidR="007F19F9" w:rsidRPr="00E57F1F" w:rsidRDefault="007F19F9" w:rsidP="007F19F9">
      <w:pPr>
        <w:ind w:left="284" w:right="282"/>
        <w:jc w:val="center"/>
        <w:rPr>
          <w:rFonts w:eastAsia="Calibri"/>
          <w:b/>
          <w:highlight w:val="yellow"/>
        </w:rPr>
      </w:pPr>
    </w:p>
    <w:p w14:paraId="556080F6" w14:textId="77777777" w:rsidR="007F19F9" w:rsidRPr="006D0793" w:rsidRDefault="007F19F9" w:rsidP="007F19F9">
      <w:pPr>
        <w:ind w:left="284" w:right="282"/>
        <w:jc w:val="center"/>
        <w:rPr>
          <w:rFonts w:eastAsia="Calibri"/>
          <w:b/>
        </w:rPr>
      </w:pPr>
      <w:r w:rsidRPr="006D0793">
        <w:rPr>
          <w:rFonts w:eastAsia="Calibri"/>
          <w:b/>
        </w:rPr>
        <w:t>Skaidrojums Nr.</w:t>
      </w:r>
      <w:r>
        <w:rPr>
          <w:rFonts w:eastAsia="Calibri"/>
          <w:b/>
        </w:rPr>
        <w:t>2</w:t>
      </w:r>
    </w:p>
    <w:p w14:paraId="72403D59" w14:textId="77777777" w:rsidR="007F19F9" w:rsidRPr="00E57F1F" w:rsidRDefault="007F19F9" w:rsidP="007F19F9">
      <w:pPr>
        <w:ind w:left="284" w:right="282"/>
        <w:jc w:val="center"/>
        <w:rPr>
          <w:rFonts w:eastAsia="Calibri"/>
          <w:b/>
          <w:highlight w:val="yellow"/>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9124"/>
        <w:gridCol w:w="4961"/>
      </w:tblGrid>
      <w:tr w:rsidR="007F19F9" w:rsidRPr="00C57A28" w14:paraId="77272B23" w14:textId="77777777" w:rsidTr="00E4128C">
        <w:trPr>
          <w:trHeight w:val="655"/>
        </w:trPr>
        <w:tc>
          <w:tcPr>
            <w:tcW w:w="652" w:type="dxa"/>
            <w:shd w:val="clear" w:color="auto" w:fill="FFF2CC"/>
            <w:vAlign w:val="center"/>
          </w:tcPr>
          <w:p w14:paraId="257E7353" w14:textId="77777777" w:rsidR="007F19F9" w:rsidRPr="00C57A28" w:rsidRDefault="007F19F9" w:rsidP="00E4128C">
            <w:pPr>
              <w:contextualSpacing/>
              <w:jc w:val="center"/>
              <w:rPr>
                <w:rFonts w:eastAsia="Calibri"/>
                <w:b/>
                <w:szCs w:val="24"/>
              </w:rPr>
            </w:pPr>
            <w:r w:rsidRPr="00C57A28">
              <w:rPr>
                <w:rFonts w:eastAsia="Calibri"/>
                <w:b/>
                <w:szCs w:val="24"/>
              </w:rPr>
              <w:t>Nr.</w:t>
            </w:r>
          </w:p>
          <w:p w14:paraId="7F1AF185" w14:textId="77777777" w:rsidR="007F19F9" w:rsidRPr="00C57A28" w:rsidRDefault="007F19F9" w:rsidP="00E4128C">
            <w:pPr>
              <w:contextualSpacing/>
              <w:jc w:val="center"/>
              <w:rPr>
                <w:rFonts w:eastAsia="Calibri"/>
                <w:b/>
                <w:szCs w:val="24"/>
              </w:rPr>
            </w:pPr>
            <w:r w:rsidRPr="00C57A28">
              <w:rPr>
                <w:rFonts w:eastAsia="Calibri"/>
                <w:b/>
                <w:szCs w:val="24"/>
              </w:rPr>
              <w:t>p.k.</w:t>
            </w:r>
          </w:p>
        </w:tc>
        <w:tc>
          <w:tcPr>
            <w:tcW w:w="9124" w:type="dxa"/>
            <w:shd w:val="clear" w:color="auto" w:fill="FFF2CC"/>
            <w:vAlign w:val="center"/>
          </w:tcPr>
          <w:p w14:paraId="47B06843" w14:textId="77777777" w:rsidR="007F19F9" w:rsidRPr="00C57A28" w:rsidRDefault="007F19F9" w:rsidP="00E4128C">
            <w:pPr>
              <w:contextualSpacing/>
              <w:jc w:val="center"/>
              <w:rPr>
                <w:rFonts w:eastAsia="Calibri"/>
                <w:b/>
                <w:i/>
                <w:szCs w:val="24"/>
              </w:rPr>
            </w:pPr>
            <w:r w:rsidRPr="00C57A28">
              <w:rPr>
                <w:rFonts w:eastAsia="Calibri"/>
                <w:b/>
                <w:i/>
                <w:szCs w:val="24"/>
              </w:rPr>
              <w:t>Jautājums</w:t>
            </w:r>
          </w:p>
        </w:tc>
        <w:tc>
          <w:tcPr>
            <w:tcW w:w="4961" w:type="dxa"/>
            <w:shd w:val="clear" w:color="auto" w:fill="FFF2CC"/>
            <w:vAlign w:val="center"/>
          </w:tcPr>
          <w:p w14:paraId="559CB060" w14:textId="77777777" w:rsidR="007F19F9" w:rsidRPr="00C57A28" w:rsidRDefault="007F19F9" w:rsidP="00E4128C">
            <w:pPr>
              <w:contextualSpacing/>
              <w:jc w:val="center"/>
              <w:rPr>
                <w:rFonts w:eastAsia="Calibri"/>
                <w:b/>
                <w:i/>
                <w:szCs w:val="24"/>
              </w:rPr>
            </w:pPr>
            <w:r w:rsidRPr="00C57A28">
              <w:rPr>
                <w:rFonts w:eastAsia="Calibri"/>
                <w:b/>
                <w:i/>
                <w:szCs w:val="24"/>
              </w:rPr>
              <w:t>Atbilde</w:t>
            </w:r>
          </w:p>
        </w:tc>
      </w:tr>
      <w:tr w:rsidR="007F19F9" w:rsidRPr="00C57A28" w14:paraId="1639E608" w14:textId="77777777" w:rsidTr="00E4128C">
        <w:trPr>
          <w:trHeight w:val="839"/>
        </w:trPr>
        <w:tc>
          <w:tcPr>
            <w:tcW w:w="652" w:type="dxa"/>
            <w:shd w:val="clear" w:color="auto" w:fill="auto"/>
          </w:tcPr>
          <w:p w14:paraId="34AEDCDF" w14:textId="77777777" w:rsidR="007F19F9" w:rsidRPr="00C57A28" w:rsidRDefault="007F19F9" w:rsidP="00E4128C">
            <w:pPr>
              <w:contextualSpacing/>
              <w:jc w:val="center"/>
              <w:rPr>
                <w:rFonts w:eastAsia="Calibri"/>
                <w:szCs w:val="24"/>
              </w:rPr>
            </w:pPr>
            <w:r w:rsidRPr="00C57A28">
              <w:rPr>
                <w:rFonts w:eastAsia="Calibri"/>
                <w:szCs w:val="24"/>
              </w:rPr>
              <w:t>1.</w:t>
            </w:r>
          </w:p>
        </w:tc>
        <w:tc>
          <w:tcPr>
            <w:tcW w:w="9124" w:type="dxa"/>
            <w:shd w:val="clear" w:color="auto" w:fill="auto"/>
          </w:tcPr>
          <w:p w14:paraId="335C13EE" w14:textId="77777777" w:rsidR="007F19F9" w:rsidRPr="00C57A28" w:rsidRDefault="007F19F9" w:rsidP="00E4128C">
            <w:pPr>
              <w:spacing w:line="276" w:lineRule="auto"/>
              <w:rPr>
                <w:bCs/>
                <w:szCs w:val="24"/>
              </w:rPr>
            </w:pPr>
            <w:r w:rsidRPr="00C57A28">
              <w:rPr>
                <w:rFonts w:eastAsia="Calibri"/>
                <w:szCs w:val="24"/>
              </w:rPr>
              <w:t xml:space="preserve">Ņemot vērā šī brīža dabasgāzes tirgus situāciju, kad dabasgāzes cena vienas dienas ietvaros var pieaugt pat par 30 EUR/MWh un tad atkal nokrist (piemēram, par 10 EUR/MWh), ir absolūti neprognozējams, kāda var būt situācija un iespējas fiksēt cenu pat vienas dienas ietvaros. Tādēļ lūdzam grozīt iepirkuma nosacījumus un lūdzam noteikt, ka piedāvājums iesniedzams par mainīgu dabasgāzes cenu, kas līguma darbības laikā mainītos atbilstoši faktiskajai tirgus situācijai. </w:t>
            </w:r>
          </w:p>
          <w:p w14:paraId="6E755EC9" w14:textId="77777777" w:rsidR="007F19F9" w:rsidRPr="00C57A28" w:rsidRDefault="007F19F9" w:rsidP="00E4128C">
            <w:pPr>
              <w:tabs>
                <w:tab w:val="left" w:pos="8789"/>
              </w:tabs>
              <w:spacing w:line="276" w:lineRule="auto"/>
              <w:ind w:right="43"/>
              <w:rPr>
                <w:rFonts w:eastAsia="Calibri"/>
                <w:b/>
                <w:i/>
                <w:szCs w:val="24"/>
              </w:rPr>
            </w:pPr>
            <w:r w:rsidRPr="00C57A28">
              <w:rPr>
                <w:rFonts w:eastAsia="Calibri"/>
                <w:b/>
                <w:i/>
                <w:szCs w:val="24"/>
              </w:rPr>
              <w:t xml:space="preserve"> </w:t>
            </w:r>
            <w:r w:rsidRPr="00C57A28">
              <w:rPr>
                <w:rFonts w:eastAsia="Calibri"/>
                <w:szCs w:val="24"/>
              </w:rPr>
              <w:t>Cenas grozīšana no fiksētas cenas uz mainīgu pirmkārt nodrošinātu, ka Pretendentam netiek iesniegtas nesamērīgi augstas fiksētās cenas, un otrkārt nodrošinātu, ka dabasgāzes tirgotāji vispār piedalās izsludinātajā iepirkumā.</w:t>
            </w:r>
          </w:p>
          <w:p w14:paraId="27C2303E" w14:textId="77777777" w:rsidR="007F19F9" w:rsidRPr="00C57A28" w:rsidRDefault="007F19F9" w:rsidP="00E4128C">
            <w:pPr>
              <w:tabs>
                <w:tab w:val="left" w:pos="8789"/>
              </w:tabs>
              <w:spacing w:line="276" w:lineRule="auto"/>
              <w:ind w:right="43"/>
              <w:rPr>
                <w:rFonts w:eastAsia="Calibri"/>
                <w:szCs w:val="24"/>
              </w:rPr>
            </w:pPr>
            <w:r w:rsidRPr="00C57A28">
              <w:rPr>
                <w:rFonts w:eastAsia="Calibri"/>
                <w:szCs w:val="24"/>
              </w:rPr>
              <w:t xml:space="preserve">Informējam, ka pēdējā laikā tirgū novērojama situācija, kad iepirkumos netiek iesniegts neviens piedāvājums vai uzvarējušie pretendenti atsakās slēgt līgumus, jo vairs nevar nodrošināt piedāvāto fiksēto cenu. Pretendenta gadījumā šāda atteikšanās iespējamība slēgt līgumu tiek samazināta, paredzot piedāvājuma nodrošinājumu, tomēr tas noved pie fakta, ka </w:t>
            </w:r>
            <w:r w:rsidRPr="00C57A28">
              <w:rPr>
                <w:rFonts w:eastAsia="Calibri"/>
                <w:szCs w:val="24"/>
                <w:u w:val="single"/>
              </w:rPr>
              <w:t>tirgotāji iepirkumā vai nu vispār nepiedalīsies, vai iesniegs ļoti augstas fiksētās cenas</w:t>
            </w:r>
            <w:r w:rsidRPr="00C57A28">
              <w:rPr>
                <w:rFonts w:eastAsia="Calibri"/>
                <w:szCs w:val="24"/>
              </w:rPr>
              <w:t xml:space="preserve"> (kas pārsniedz tirgus cenu līmeni piedāvājuma iesniegšanas dienā), lai nodrošinātu iespējamību noslēgt līgumu arī pēc rezultātu paziņošanas un netiktu zaudēts iemaksātais piedāvājuma nodrošinājums. Nav izslēdzama situācija, ka pat nodrošinājuma zaudēšana šī brīža tirgus </w:t>
            </w:r>
            <w:r w:rsidRPr="00C57A28">
              <w:rPr>
                <w:rFonts w:eastAsia="Calibri"/>
                <w:szCs w:val="24"/>
              </w:rPr>
              <w:lastRenderedPageBreak/>
              <w:t>situācijā ir finansiāli izdevīgāka nekā iepirkuma līguma noslēgšana par piedāvāto dabasgāzes cenu.</w:t>
            </w:r>
          </w:p>
          <w:p w14:paraId="5FC191AA" w14:textId="77777777" w:rsidR="007F19F9" w:rsidRPr="00C57A28" w:rsidRDefault="007F19F9" w:rsidP="00E4128C">
            <w:pPr>
              <w:tabs>
                <w:tab w:val="left" w:pos="8789"/>
              </w:tabs>
              <w:spacing w:line="276" w:lineRule="auto"/>
              <w:ind w:right="43"/>
              <w:rPr>
                <w:rFonts w:eastAsia="Calibri"/>
                <w:szCs w:val="24"/>
              </w:rPr>
            </w:pPr>
            <w:r w:rsidRPr="00C57A28">
              <w:rPr>
                <w:rFonts w:eastAsia="Calibri"/>
                <w:szCs w:val="24"/>
              </w:rPr>
              <w:t xml:space="preserve">Ievērojot minēto, lai šajā svārstīgajā un absolūti neprognozējamajā periodā nodrošinātu iespēju noslēgt līgumu (pretendenti neatteiktos no piedāvājumiem, tādējādi Pasūtītājam būtu jāmeklē cits risinājums kā objektus nodrošināt ar dabasgāzes piegādi) par faktiskajai situācijai atbilstošu cenu, vienlaikus saņemot vairākus piedāvājumus un tādējādi radot konkurenci un iespēju saņemt izdevīgāko cenu, lūdzam ņemt vērā iepriekš minētos argumentus un noteikt, ka dabasgāzes cena iesniedzama kā mainīga cena un iesniedzama pēc </w:t>
            </w:r>
            <w:r w:rsidRPr="00C57A28">
              <w:rPr>
                <w:rFonts w:eastAsia="Calibri"/>
                <w:b/>
                <w:szCs w:val="24"/>
              </w:rPr>
              <w:t>TTF formulas</w:t>
            </w:r>
            <w:r w:rsidRPr="00C57A28">
              <w:rPr>
                <w:rFonts w:eastAsia="Calibri"/>
                <w:szCs w:val="24"/>
              </w:rPr>
              <w:t>:</w:t>
            </w:r>
          </w:p>
          <w:tbl>
            <w:tblPr>
              <w:tblStyle w:val="Reatabula"/>
              <w:tblW w:w="8948" w:type="dxa"/>
              <w:tblLayout w:type="fixed"/>
              <w:tblLook w:val="04A0" w:firstRow="1" w:lastRow="0" w:firstColumn="1" w:lastColumn="0" w:noHBand="0" w:noVBand="1"/>
            </w:tblPr>
            <w:tblGrid>
              <w:gridCol w:w="4474"/>
              <w:gridCol w:w="4474"/>
            </w:tblGrid>
            <w:tr w:rsidR="007F19F9" w:rsidRPr="00C57A28" w14:paraId="1EC9821F" w14:textId="77777777" w:rsidTr="00E4128C">
              <w:trPr>
                <w:trHeight w:val="233"/>
              </w:trPr>
              <w:tc>
                <w:tcPr>
                  <w:tcW w:w="4474" w:type="dxa"/>
                  <w:shd w:val="clear" w:color="auto" w:fill="D9D9D9" w:themeFill="background1" w:themeFillShade="D9"/>
                </w:tcPr>
                <w:p w14:paraId="1FFE0A1D" w14:textId="77777777" w:rsidR="007F19F9" w:rsidRPr="00C57A28" w:rsidRDefault="007F19F9" w:rsidP="00E4128C">
                  <w:pPr>
                    <w:tabs>
                      <w:tab w:val="left" w:pos="8789"/>
                    </w:tabs>
                    <w:spacing w:line="276" w:lineRule="auto"/>
                    <w:ind w:right="43" w:firstLine="709"/>
                    <w:jc w:val="center"/>
                    <w:rPr>
                      <w:rFonts w:eastAsia="Calibri"/>
                      <w:b/>
                      <w:bCs/>
                      <w:lang w:val="lv-LV"/>
                    </w:rPr>
                  </w:pPr>
                  <w:r w:rsidRPr="00C57A28">
                    <w:rPr>
                      <w:rFonts w:eastAsia="Calibri"/>
                      <w:b/>
                      <w:bCs/>
                      <w:lang w:val="lv-LV"/>
                    </w:rPr>
                    <w:t>Mainīga dabasgāzes cena (EUR/MWh)</w:t>
                  </w:r>
                </w:p>
              </w:tc>
              <w:tc>
                <w:tcPr>
                  <w:tcW w:w="4474" w:type="dxa"/>
                  <w:shd w:val="clear" w:color="auto" w:fill="D9D9D9" w:themeFill="background1" w:themeFillShade="D9"/>
                </w:tcPr>
                <w:p w14:paraId="6FD6CED4" w14:textId="77777777" w:rsidR="007F19F9" w:rsidRPr="00C57A28" w:rsidRDefault="007F19F9" w:rsidP="00E4128C">
                  <w:pPr>
                    <w:tabs>
                      <w:tab w:val="left" w:pos="8789"/>
                    </w:tabs>
                    <w:spacing w:line="276" w:lineRule="auto"/>
                    <w:ind w:right="43" w:firstLine="709"/>
                    <w:rPr>
                      <w:rFonts w:eastAsia="Calibri"/>
                      <w:b/>
                      <w:bCs/>
                      <w:lang w:val="lv-LV"/>
                    </w:rPr>
                  </w:pPr>
                  <w:r w:rsidRPr="00C57A28">
                    <w:rPr>
                      <w:rFonts w:eastAsia="Calibri"/>
                      <w:b/>
                      <w:bCs/>
                      <w:lang w:val="lv-LV"/>
                    </w:rPr>
                    <w:t>TTFfm + X*</w:t>
                  </w:r>
                </w:p>
              </w:tc>
            </w:tr>
            <w:tr w:rsidR="007F19F9" w:rsidRPr="00C57A28" w14:paraId="2FAC0FC5" w14:textId="77777777" w:rsidTr="00E4128C">
              <w:trPr>
                <w:trHeight w:val="220"/>
              </w:trPr>
              <w:tc>
                <w:tcPr>
                  <w:tcW w:w="4474" w:type="dxa"/>
                  <w:shd w:val="clear" w:color="auto" w:fill="D9D9D9" w:themeFill="background1" w:themeFillShade="D9"/>
                </w:tcPr>
                <w:p w14:paraId="33919057"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Uzglabāšanas sistēmas pakalpojums</w:t>
                  </w:r>
                </w:p>
              </w:tc>
              <w:tc>
                <w:tcPr>
                  <w:tcW w:w="4474" w:type="dxa"/>
                  <w:shd w:val="clear" w:color="auto" w:fill="D9D9D9" w:themeFill="background1" w:themeFillShade="D9"/>
                </w:tcPr>
                <w:p w14:paraId="725B3278" w14:textId="77777777" w:rsidR="007F19F9" w:rsidRPr="00C57A28" w:rsidRDefault="007F19F9" w:rsidP="00E4128C">
                  <w:pPr>
                    <w:tabs>
                      <w:tab w:val="left" w:pos="8789"/>
                    </w:tabs>
                    <w:spacing w:line="276" w:lineRule="auto"/>
                    <w:ind w:right="43" w:firstLine="709"/>
                    <w:rPr>
                      <w:rFonts w:eastAsia="Calibri"/>
                      <w:bCs/>
                      <w:lang w:val="lv-LV"/>
                    </w:rPr>
                  </w:pPr>
                  <w:r w:rsidRPr="00C57A28">
                    <w:rPr>
                      <w:rFonts w:eastAsia="Calibri"/>
                      <w:bCs/>
                      <w:lang w:val="lv-LV"/>
                    </w:rPr>
                    <w:t>Iekļauts</w:t>
                  </w:r>
                </w:p>
              </w:tc>
            </w:tr>
            <w:tr w:rsidR="007F19F9" w:rsidRPr="00C57A28" w14:paraId="1DD7A6DD" w14:textId="77777777" w:rsidTr="00E4128C">
              <w:trPr>
                <w:trHeight w:val="466"/>
              </w:trPr>
              <w:tc>
                <w:tcPr>
                  <w:tcW w:w="4474" w:type="dxa"/>
                  <w:shd w:val="clear" w:color="auto" w:fill="D9D9D9" w:themeFill="background1" w:themeFillShade="D9"/>
                </w:tcPr>
                <w:p w14:paraId="76E5BAE0"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Pārvades sistēmas pakalpojums - pārvades jauda</w:t>
                  </w:r>
                </w:p>
              </w:tc>
              <w:tc>
                <w:tcPr>
                  <w:tcW w:w="4474" w:type="dxa"/>
                  <w:shd w:val="clear" w:color="auto" w:fill="D9D9D9" w:themeFill="background1" w:themeFillShade="D9"/>
                </w:tcPr>
                <w:p w14:paraId="663F1A0F" w14:textId="77777777" w:rsidR="007F19F9" w:rsidRPr="00C57A28" w:rsidRDefault="007F19F9" w:rsidP="00E4128C">
                  <w:pPr>
                    <w:tabs>
                      <w:tab w:val="left" w:pos="8789"/>
                    </w:tabs>
                    <w:spacing w:line="276" w:lineRule="auto"/>
                    <w:ind w:right="43" w:firstLine="709"/>
                    <w:rPr>
                      <w:rFonts w:eastAsia="Calibri"/>
                      <w:bCs/>
                      <w:lang w:val="lv-LV"/>
                    </w:rPr>
                  </w:pPr>
                  <w:r w:rsidRPr="00C57A28">
                    <w:rPr>
                      <w:rFonts w:eastAsia="Calibri"/>
                      <w:bCs/>
                      <w:lang w:val="lv-LV"/>
                    </w:rPr>
                    <w:t>Iekļauts</w:t>
                  </w:r>
                </w:p>
              </w:tc>
            </w:tr>
            <w:tr w:rsidR="007F19F9" w:rsidRPr="00C57A28" w14:paraId="53E60EBD" w14:textId="77777777" w:rsidTr="00E4128C">
              <w:trPr>
                <w:trHeight w:val="220"/>
              </w:trPr>
              <w:tc>
                <w:tcPr>
                  <w:tcW w:w="4474" w:type="dxa"/>
                  <w:shd w:val="clear" w:color="auto" w:fill="D9D9D9" w:themeFill="background1" w:themeFillShade="D9"/>
                </w:tcPr>
                <w:p w14:paraId="752937F6"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Balansēšanas pakalpojums</w:t>
                  </w:r>
                </w:p>
              </w:tc>
              <w:tc>
                <w:tcPr>
                  <w:tcW w:w="4474" w:type="dxa"/>
                  <w:shd w:val="clear" w:color="auto" w:fill="D9D9D9" w:themeFill="background1" w:themeFillShade="D9"/>
                </w:tcPr>
                <w:p w14:paraId="4954C3BD" w14:textId="77777777" w:rsidR="007F19F9" w:rsidRPr="00C57A28" w:rsidRDefault="007F19F9" w:rsidP="00E4128C">
                  <w:pPr>
                    <w:tabs>
                      <w:tab w:val="left" w:pos="8789"/>
                    </w:tabs>
                    <w:spacing w:line="276" w:lineRule="auto"/>
                    <w:ind w:right="43" w:firstLine="709"/>
                    <w:rPr>
                      <w:rFonts w:eastAsia="Calibri"/>
                      <w:bCs/>
                      <w:lang w:val="lv-LV"/>
                    </w:rPr>
                  </w:pPr>
                  <w:r w:rsidRPr="00C57A28">
                    <w:rPr>
                      <w:rFonts w:eastAsia="Calibri"/>
                      <w:bCs/>
                      <w:lang w:val="lv-LV"/>
                    </w:rPr>
                    <w:t>Iekļauts</w:t>
                  </w:r>
                </w:p>
              </w:tc>
            </w:tr>
            <w:tr w:rsidR="007F19F9" w:rsidRPr="00C57A28" w14:paraId="7D9E4B83" w14:textId="77777777" w:rsidTr="00E4128C">
              <w:trPr>
                <w:trHeight w:val="700"/>
              </w:trPr>
              <w:tc>
                <w:tcPr>
                  <w:tcW w:w="4474" w:type="dxa"/>
                </w:tcPr>
                <w:p w14:paraId="3BD043C6"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Pārvades sistēmas pakalpojums - izejas punkts Latvijas lietotāju apgādei</w:t>
                  </w:r>
                </w:p>
              </w:tc>
              <w:tc>
                <w:tcPr>
                  <w:tcW w:w="4474" w:type="dxa"/>
                </w:tcPr>
                <w:p w14:paraId="3FC4D7F9"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Maksājams papildus atbilstoši spēkā esošajiem tarifiem (piedāvājuma iesniegšanas dienā-1.9297 EUR/MWh)</w:t>
                  </w:r>
                </w:p>
              </w:tc>
            </w:tr>
            <w:tr w:rsidR="007F19F9" w:rsidRPr="00C57A28" w14:paraId="45E1EDCD" w14:textId="77777777" w:rsidTr="00E4128C">
              <w:trPr>
                <w:trHeight w:val="1387"/>
              </w:trPr>
              <w:tc>
                <w:tcPr>
                  <w:tcW w:w="4474" w:type="dxa"/>
                </w:tcPr>
                <w:p w14:paraId="3CC3DB8C"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 xml:space="preserve">Sadales sistēmas pakalpojums </w:t>
                  </w:r>
                </w:p>
              </w:tc>
              <w:tc>
                <w:tcPr>
                  <w:tcW w:w="4474" w:type="dxa"/>
                </w:tcPr>
                <w:p w14:paraId="40CA668C"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Maksājams papildus atbilstoši spēkā esošajam tarifam:</w:t>
                  </w:r>
                </w:p>
                <w:p w14:paraId="2FCCD6C9" w14:textId="77777777" w:rsidR="007F19F9" w:rsidRPr="00C57A28" w:rsidRDefault="007F19F9" w:rsidP="007F19F9">
                  <w:pPr>
                    <w:numPr>
                      <w:ilvl w:val="0"/>
                      <w:numId w:val="1"/>
                    </w:numPr>
                    <w:tabs>
                      <w:tab w:val="left" w:pos="8789"/>
                    </w:tabs>
                    <w:spacing w:line="276" w:lineRule="auto"/>
                    <w:ind w:right="43"/>
                    <w:rPr>
                      <w:rFonts w:eastAsia="Calibri"/>
                      <w:lang w:val="lv-LV"/>
                    </w:rPr>
                  </w:pPr>
                  <w:r w:rsidRPr="00C57A28">
                    <w:rPr>
                      <w:rFonts w:eastAsia="Calibri"/>
                      <w:bCs/>
                      <w:lang w:val="lv-LV"/>
                    </w:rPr>
                    <w:t>Tarifa fiksētā daļa pēc objekta maksimālās vai atļautās slodzes;</w:t>
                  </w:r>
                </w:p>
                <w:p w14:paraId="6058B343" w14:textId="77777777" w:rsidR="007F19F9" w:rsidRPr="00C57A28" w:rsidRDefault="007F19F9" w:rsidP="007F19F9">
                  <w:pPr>
                    <w:numPr>
                      <w:ilvl w:val="0"/>
                      <w:numId w:val="1"/>
                    </w:numPr>
                    <w:tabs>
                      <w:tab w:val="left" w:pos="8789"/>
                    </w:tabs>
                    <w:spacing w:line="276" w:lineRule="auto"/>
                    <w:ind w:right="43"/>
                    <w:rPr>
                      <w:rFonts w:eastAsia="Calibri"/>
                      <w:b/>
                      <w:lang w:val="lv-LV"/>
                    </w:rPr>
                  </w:pPr>
                  <w:r w:rsidRPr="00C57A28">
                    <w:rPr>
                      <w:rFonts w:eastAsia="Calibri"/>
                      <w:bCs/>
                      <w:lang w:val="lv-LV"/>
                    </w:rPr>
                    <w:t>Tarifa mainīgā daļa - atbilstoši patēriņa grupai</w:t>
                  </w:r>
                </w:p>
              </w:tc>
            </w:tr>
            <w:tr w:rsidR="007F19F9" w:rsidRPr="00C57A28" w14:paraId="25ABBA99" w14:textId="77777777" w:rsidTr="00E4128C">
              <w:trPr>
                <w:trHeight w:val="453"/>
              </w:trPr>
              <w:tc>
                <w:tcPr>
                  <w:tcW w:w="4474" w:type="dxa"/>
                </w:tcPr>
                <w:p w14:paraId="076CB0DC"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Akcīzes nodoklis</w:t>
                  </w:r>
                </w:p>
              </w:tc>
              <w:tc>
                <w:tcPr>
                  <w:tcW w:w="4474" w:type="dxa"/>
                </w:tcPr>
                <w:p w14:paraId="6FC9A429"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Maksājams papildus atbilstoši dabasgāzes izmantošanas mērķim</w:t>
                  </w:r>
                </w:p>
              </w:tc>
            </w:tr>
            <w:tr w:rsidR="007F19F9" w:rsidRPr="00C57A28" w14:paraId="26FB0F09" w14:textId="77777777" w:rsidTr="00E4128C">
              <w:trPr>
                <w:trHeight w:val="58"/>
              </w:trPr>
              <w:tc>
                <w:tcPr>
                  <w:tcW w:w="4474" w:type="dxa"/>
                </w:tcPr>
                <w:p w14:paraId="4822433E"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Pievienotās vērtības nodoklis</w:t>
                  </w:r>
                </w:p>
              </w:tc>
              <w:tc>
                <w:tcPr>
                  <w:tcW w:w="4474" w:type="dxa"/>
                </w:tcPr>
                <w:p w14:paraId="657A7C2F" w14:textId="77777777" w:rsidR="007F19F9" w:rsidRPr="00C57A28" w:rsidRDefault="007F19F9" w:rsidP="00E4128C">
                  <w:pPr>
                    <w:tabs>
                      <w:tab w:val="left" w:pos="8789"/>
                    </w:tabs>
                    <w:spacing w:line="276" w:lineRule="auto"/>
                    <w:ind w:right="43"/>
                    <w:rPr>
                      <w:rFonts w:eastAsia="Calibri"/>
                      <w:bCs/>
                      <w:lang w:val="lv-LV"/>
                    </w:rPr>
                  </w:pPr>
                  <w:r w:rsidRPr="00C57A28">
                    <w:rPr>
                      <w:rFonts w:eastAsia="Calibri"/>
                      <w:bCs/>
                      <w:lang w:val="lv-LV"/>
                    </w:rPr>
                    <w:t>Maksājams papildus 21%</w:t>
                  </w:r>
                </w:p>
              </w:tc>
            </w:tr>
          </w:tbl>
          <w:p w14:paraId="087C9EB2" w14:textId="77777777" w:rsidR="007F19F9" w:rsidRPr="00C57A28" w:rsidRDefault="007F19F9" w:rsidP="00E4128C">
            <w:pPr>
              <w:tabs>
                <w:tab w:val="left" w:pos="8789"/>
              </w:tabs>
              <w:spacing w:line="276" w:lineRule="auto"/>
              <w:ind w:right="43"/>
              <w:rPr>
                <w:rFonts w:eastAsia="Calibri"/>
                <w:bCs/>
                <w:szCs w:val="24"/>
              </w:rPr>
            </w:pPr>
            <w:r w:rsidRPr="00C57A28">
              <w:rPr>
                <w:rFonts w:eastAsia="Calibri"/>
                <w:b/>
                <w:bCs/>
                <w:szCs w:val="24"/>
              </w:rPr>
              <w:t>*X</w:t>
            </w:r>
            <w:r w:rsidRPr="00C57A28">
              <w:rPr>
                <w:rFonts w:eastAsia="Calibri"/>
                <w:bCs/>
                <w:szCs w:val="24"/>
              </w:rPr>
              <w:t>- Vērtēšanas kritērijs, Tirgotāja uzcenojums, kurš būs nemainīgs visu tirdzniecības periodu. Uzcenojums norādāms ar precizitāti - divas zīmes aiz komata.</w:t>
            </w:r>
          </w:p>
          <w:p w14:paraId="2FE0BEA6" w14:textId="77777777" w:rsidR="007F19F9" w:rsidRPr="00C57A28" w:rsidRDefault="007F19F9" w:rsidP="00E4128C">
            <w:pPr>
              <w:tabs>
                <w:tab w:val="left" w:pos="8789"/>
              </w:tabs>
              <w:spacing w:line="276" w:lineRule="auto"/>
              <w:ind w:right="43"/>
              <w:rPr>
                <w:rFonts w:eastAsia="Calibri"/>
                <w:bCs/>
                <w:szCs w:val="24"/>
              </w:rPr>
            </w:pPr>
            <w:r w:rsidRPr="00C57A28">
              <w:rPr>
                <w:rFonts w:eastAsia="Calibri"/>
                <w:b/>
                <w:bCs/>
                <w:szCs w:val="24"/>
              </w:rPr>
              <w:lastRenderedPageBreak/>
              <w:t>TTFfm</w:t>
            </w:r>
            <w:r w:rsidRPr="00C57A28">
              <w:rPr>
                <w:rFonts w:eastAsia="Calibri"/>
                <w:bCs/>
                <w:szCs w:val="24"/>
              </w:rPr>
              <w:t xml:space="preserve"> – nākamā mēneša TTF cenu indekss, kas tiek publicēts pirms piegādes mēneša pēdējā tirdzniecības darba dienā “Argus European Natural Gas” pārskatā,  “Featured indexes” sadaļā. Šis lielums mainās katru mēnesi.</w:t>
            </w:r>
          </w:p>
        </w:tc>
        <w:tc>
          <w:tcPr>
            <w:tcW w:w="4961" w:type="dxa"/>
            <w:shd w:val="clear" w:color="auto" w:fill="auto"/>
          </w:tcPr>
          <w:p w14:paraId="5BFEB1AE" w14:textId="77777777" w:rsidR="007F19F9" w:rsidRDefault="007F19F9" w:rsidP="00E4128C">
            <w:pPr>
              <w:contextualSpacing/>
              <w:rPr>
                <w:szCs w:val="24"/>
                <w:lang w:eastAsia="lv-LV"/>
              </w:rPr>
            </w:pPr>
            <w:r w:rsidRPr="00C57A28">
              <w:rPr>
                <w:szCs w:val="24"/>
                <w:lang w:eastAsia="lv-LV"/>
              </w:rPr>
              <w:lastRenderedPageBreak/>
              <w:t xml:space="preserve">Lūdzam skatīt sarunu procedūras ar publikāciju Grozījumus Nr.2. </w:t>
            </w:r>
          </w:p>
          <w:p w14:paraId="54F35612" w14:textId="77777777" w:rsidR="007F19F9" w:rsidRPr="00C57A28" w:rsidRDefault="007F19F9" w:rsidP="00E4128C">
            <w:pPr>
              <w:contextualSpacing/>
              <w:rPr>
                <w:szCs w:val="24"/>
                <w:lang w:eastAsia="lv-LV"/>
              </w:rPr>
            </w:pPr>
            <w:r w:rsidRPr="00C57A28">
              <w:rPr>
                <w:szCs w:val="24"/>
                <w:lang w:eastAsia="lv-LV"/>
              </w:rPr>
              <w:t>Vienlaikus informējam, ka sarunu procedūras ar publikāciju piedāvājumu iesniegšanas/atvēršanas termiņš tiek pagarināts līdz 19.10.2021.</w:t>
            </w:r>
          </w:p>
        </w:tc>
      </w:tr>
    </w:tbl>
    <w:p w14:paraId="463A6D30" w14:textId="77777777" w:rsidR="007F19F9" w:rsidRPr="00E57F1F" w:rsidRDefault="007F19F9" w:rsidP="007F19F9">
      <w:pPr>
        <w:rPr>
          <w:szCs w:val="24"/>
          <w:highlight w:val="yellow"/>
        </w:rPr>
      </w:pPr>
    </w:p>
    <w:p w14:paraId="4A7BB1B0" w14:textId="77777777" w:rsidR="007F19F9" w:rsidRDefault="007F19F9" w:rsidP="007F19F9">
      <w:pPr>
        <w:rPr>
          <w:b/>
          <w:i/>
          <w:highlight w:val="yellow"/>
        </w:rPr>
      </w:pPr>
    </w:p>
    <w:p w14:paraId="065C9252" w14:textId="77777777" w:rsidR="007F19F9" w:rsidRDefault="007F19F9" w:rsidP="007F19F9">
      <w:pPr>
        <w:jc w:val="right"/>
        <w:rPr>
          <w:b/>
          <w:i/>
        </w:rPr>
      </w:pPr>
    </w:p>
    <w:p w14:paraId="2865FE0D" w14:textId="77777777" w:rsidR="007F19F9" w:rsidRDefault="007F19F9" w:rsidP="007F19F9">
      <w:pPr>
        <w:jc w:val="right"/>
        <w:rPr>
          <w:b/>
          <w:i/>
        </w:rPr>
      </w:pPr>
    </w:p>
    <w:p w14:paraId="5EB59EF1" w14:textId="77777777" w:rsidR="007F19F9" w:rsidRPr="00C20434" w:rsidRDefault="007F19F9">
      <w:pPr>
        <w:rPr>
          <w:rFonts w:ascii="Arial" w:hAnsi="Arial" w:cs="Arial"/>
        </w:rPr>
      </w:pPr>
    </w:p>
    <w:sectPr w:rsidR="007F19F9" w:rsidRPr="00C20434" w:rsidSect="007F19F9">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C65D0"/>
    <w:multiLevelType w:val="hybridMultilevel"/>
    <w:tmpl w:val="DC2E8CAE"/>
    <w:lvl w:ilvl="0" w:tplc="B85AD58C">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F9"/>
    <w:rsid w:val="003204EA"/>
    <w:rsid w:val="007F19F9"/>
    <w:rsid w:val="0098236C"/>
    <w:rsid w:val="00A65E32"/>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1683"/>
  <w15:chartTrackingRefBased/>
  <w15:docId w15:val="{AA2A6342-D769-484F-8056-4195A81D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19F9"/>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F19F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2272</Words>
  <Characters>1296</Characters>
  <Application>Microsoft Office Word</Application>
  <DocSecurity>0</DocSecurity>
  <Lines>10</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2021-10-12T15:21:00Z</dcterms:created>
  <dcterms:modified xsi:type="dcterms:W3CDTF">2021-10-12T15:21:00Z</dcterms:modified>
</cp:coreProperties>
</file>