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9604" w14:textId="77777777" w:rsidR="00C739D1" w:rsidRPr="00AB3184" w:rsidRDefault="00C739D1" w:rsidP="00C739D1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423DE89A" w14:textId="652642ED" w:rsidR="00C739D1" w:rsidRPr="008951BD" w:rsidRDefault="00C739D1" w:rsidP="00C739D1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2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25.aprīļa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C112AEB" w14:textId="119F2080" w:rsidR="00C739D1" w:rsidRDefault="00C739D1" w:rsidP="00C739D1">
      <w:pPr>
        <w:ind w:right="-625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4AA8C6D6" w14:textId="49D55457" w:rsidR="0098236C" w:rsidRDefault="0098236C">
      <w:pPr>
        <w:rPr>
          <w:rFonts w:ascii="Arial" w:hAnsi="Arial" w:cs="Arial"/>
        </w:rPr>
      </w:pPr>
    </w:p>
    <w:p w14:paraId="181164AD" w14:textId="6E4FF6DE" w:rsidR="00C739D1" w:rsidRDefault="00C739D1">
      <w:pPr>
        <w:rPr>
          <w:rFonts w:ascii="Arial" w:hAnsi="Arial" w:cs="Arial"/>
        </w:rPr>
      </w:pPr>
    </w:p>
    <w:p w14:paraId="0843B954" w14:textId="77777777" w:rsidR="00C739D1" w:rsidRPr="00DD030B" w:rsidRDefault="00C739D1" w:rsidP="00C739D1">
      <w:pPr>
        <w:jc w:val="center"/>
        <w:rPr>
          <w:b/>
        </w:rPr>
      </w:pPr>
      <w:r w:rsidRPr="00DD030B">
        <w:rPr>
          <w:b/>
        </w:rPr>
        <w:t>VAS </w:t>
      </w:r>
      <w:r w:rsidRPr="00DD030B">
        <w:rPr>
          <w:b/>
          <w:color w:val="222222"/>
        </w:rPr>
        <w:t>„</w:t>
      </w:r>
      <w:r w:rsidRPr="00DD030B">
        <w:rPr>
          <w:b/>
        </w:rPr>
        <w:t xml:space="preserve">Latvijas dzelzceļš” </w:t>
      </w:r>
    </w:p>
    <w:p w14:paraId="2929801E" w14:textId="77777777" w:rsidR="00C739D1" w:rsidRPr="00DD030B" w:rsidRDefault="00C739D1" w:rsidP="00C739D1">
      <w:pPr>
        <w:ind w:left="142" w:right="-1"/>
        <w:jc w:val="center"/>
        <w:rPr>
          <w:b/>
        </w:rPr>
      </w:pPr>
      <w:r w:rsidRPr="00DD030B">
        <w:rPr>
          <w:b/>
        </w:rPr>
        <w:t>sarunu procedūras ar publikāciju</w:t>
      </w:r>
    </w:p>
    <w:p w14:paraId="3824C602" w14:textId="77777777" w:rsidR="00C739D1" w:rsidRPr="00DD030B" w:rsidRDefault="00C739D1" w:rsidP="00C739D1">
      <w:pPr>
        <w:jc w:val="center"/>
        <w:rPr>
          <w:b/>
          <w:bCs/>
          <w:color w:val="222222"/>
          <w:szCs w:val="24"/>
        </w:rPr>
      </w:pPr>
      <w:r w:rsidRPr="00DD030B">
        <w:rPr>
          <w:b/>
          <w:bCs/>
          <w:color w:val="222222"/>
          <w:szCs w:val="24"/>
        </w:rPr>
        <w:t>„Signalizācijas, centralizācijas un bloķēšanas</w:t>
      </w:r>
    </w:p>
    <w:p w14:paraId="75CCFCA9" w14:textId="77777777" w:rsidR="00C739D1" w:rsidRDefault="00C739D1" w:rsidP="00C739D1">
      <w:pPr>
        <w:jc w:val="center"/>
        <w:rPr>
          <w:rFonts w:eastAsia="Calibri"/>
          <w:b/>
          <w:bCs/>
        </w:rPr>
      </w:pPr>
      <w:r w:rsidRPr="00DD030B">
        <w:rPr>
          <w:b/>
          <w:bCs/>
          <w:color w:val="222222"/>
          <w:szCs w:val="24"/>
        </w:rPr>
        <w:t xml:space="preserve"> ierīču </w:t>
      </w:r>
      <w:r w:rsidRPr="00DD030B">
        <w:rPr>
          <w:b/>
          <w:bCs/>
          <w:szCs w:val="24"/>
        </w:rPr>
        <w:t>un to rezerves daļu piegāde</w:t>
      </w:r>
      <w:r w:rsidRPr="00DD030B">
        <w:rPr>
          <w:b/>
          <w:bCs/>
          <w:color w:val="222222"/>
          <w:szCs w:val="24"/>
        </w:rPr>
        <w:t>”</w:t>
      </w:r>
      <w:r w:rsidRPr="00DD030B">
        <w:rPr>
          <w:rFonts w:eastAsia="Calibri"/>
          <w:b/>
          <w:bCs/>
        </w:rPr>
        <w:t xml:space="preserve"> </w:t>
      </w:r>
    </w:p>
    <w:p w14:paraId="5405D99A" w14:textId="77777777" w:rsidR="00C739D1" w:rsidRPr="000805E2" w:rsidRDefault="00C739D1" w:rsidP="00C739D1">
      <w:pPr>
        <w:jc w:val="center"/>
        <w:rPr>
          <w:rFonts w:eastAsia="Calibri"/>
        </w:rPr>
      </w:pPr>
      <w:r w:rsidRPr="00B00433">
        <w:rPr>
          <w:rFonts w:eastAsia="Calibri"/>
        </w:rPr>
        <w:t>(turpmāk – sarunu procedūra)</w:t>
      </w:r>
    </w:p>
    <w:p w14:paraId="7F79CCAC" w14:textId="77777777" w:rsidR="00C739D1" w:rsidRPr="00DD030B" w:rsidRDefault="00C739D1" w:rsidP="00C739D1">
      <w:pPr>
        <w:ind w:left="284" w:right="282"/>
        <w:rPr>
          <w:rFonts w:eastAsia="Calibri"/>
        </w:rPr>
      </w:pPr>
    </w:p>
    <w:p w14:paraId="7EADD99E" w14:textId="77777777" w:rsidR="00C739D1" w:rsidRPr="00DD030B" w:rsidRDefault="00C739D1" w:rsidP="00C739D1">
      <w:pPr>
        <w:ind w:left="284" w:right="282"/>
        <w:jc w:val="center"/>
        <w:rPr>
          <w:rFonts w:eastAsia="Calibri"/>
          <w:b/>
        </w:rPr>
      </w:pPr>
      <w:r w:rsidRPr="00DD030B">
        <w:rPr>
          <w:rFonts w:eastAsia="Calibri"/>
          <w:b/>
        </w:rPr>
        <w:t>Skaidrojums Nr.</w:t>
      </w:r>
      <w:r>
        <w:rPr>
          <w:rFonts w:eastAsia="Calibri"/>
          <w:b/>
        </w:rPr>
        <w:t>2</w:t>
      </w:r>
    </w:p>
    <w:p w14:paraId="6E827B68" w14:textId="77777777" w:rsidR="00C739D1" w:rsidRPr="007E7C3B" w:rsidRDefault="00C739D1" w:rsidP="00C739D1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6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574"/>
      </w:tblGrid>
      <w:tr w:rsidR="00C739D1" w:rsidRPr="007E7C3B" w14:paraId="46580621" w14:textId="77777777" w:rsidTr="00C739D1">
        <w:trPr>
          <w:trHeight w:val="650"/>
        </w:trPr>
        <w:tc>
          <w:tcPr>
            <w:tcW w:w="709" w:type="dxa"/>
            <w:shd w:val="clear" w:color="auto" w:fill="FFF2CC"/>
            <w:vAlign w:val="center"/>
          </w:tcPr>
          <w:p w14:paraId="1EC52C1C" w14:textId="77777777" w:rsidR="00C739D1" w:rsidRPr="00DD030B" w:rsidRDefault="00C739D1" w:rsidP="008B1A51">
            <w:pPr>
              <w:jc w:val="center"/>
              <w:rPr>
                <w:rFonts w:eastAsia="Calibri"/>
                <w:b/>
              </w:rPr>
            </w:pPr>
            <w:r w:rsidRPr="00DD030B">
              <w:rPr>
                <w:rFonts w:eastAsia="Calibri"/>
                <w:b/>
              </w:rPr>
              <w:t>Nr.</w:t>
            </w:r>
          </w:p>
          <w:p w14:paraId="0D39F43C" w14:textId="77777777" w:rsidR="00C739D1" w:rsidRPr="00DD030B" w:rsidRDefault="00C739D1" w:rsidP="008B1A51">
            <w:pPr>
              <w:jc w:val="center"/>
              <w:rPr>
                <w:rFonts w:eastAsia="Calibri"/>
                <w:b/>
              </w:rPr>
            </w:pPr>
            <w:r w:rsidRPr="00DD030B">
              <w:rPr>
                <w:rFonts w:eastAsia="Calibri"/>
                <w:b/>
              </w:rPr>
              <w:t>p.k.</w:t>
            </w:r>
          </w:p>
        </w:tc>
        <w:tc>
          <w:tcPr>
            <w:tcW w:w="4394" w:type="dxa"/>
            <w:shd w:val="clear" w:color="auto" w:fill="FFF2CC"/>
            <w:vAlign w:val="center"/>
          </w:tcPr>
          <w:p w14:paraId="035B4EE8" w14:textId="77777777" w:rsidR="00C739D1" w:rsidRPr="00DD030B" w:rsidRDefault="00C739D1" w:rsidP="008B1A51">
            <w:pPr>
              <w:jc w:val="center"/>
              <w:rPr>
                <w:rFonts w:eastAsia="Calibri"/>
                <w:b/>
                <w:i/>
              </w:rPr>
            </w:pPr>
            <w:r w:rsidRPr="00DD030B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574" w:type="dxa"/>
            <w:shd w:val="clear" w:color="auto" w:fill="FFF2CC"/>
            <w:vAlign w:val="center"/>
          </w:tcPr>
          <w:p w14:paraId="60EEDB18" w14:textId="77777777" w:rsidR="00C739D1" w:rsidRPr="00DD030B" w:rsidRDefault="00C739D1" w:rsidP="008B1A51">
            <w:pPr>
              <w:jc w:val="center"/>
              <w:rPr>
                <w:rFonts w:eastAsia="Calibri"/>
                <w:b/>
                <w:i/>
              </w:rPr>
            </w:pPr>
            <w:r w:rsidRPr="00DD030B">
              <w:rPr>
                <w:rFonts w:eastAsia="Calibri"/>
                <w:b/>
                <w:i/>
              </w:rPr>
              <w:t>Atbilde</w:t>
            </w:r>
          </w:p>
        </w:tc>
      </w:tr>
      <w:tr w:rsidR="00C739D1" w:rsidRPr="007E7C3B" w14:paraId="22EC28B6" w14:textId="77777777" w:rsidTr="00C739D1">
        <w:trPr>
          <w:trHeight w:val="1540"/>
        </w:trPr>
        <w:tc>
          <w:tcPr>
            <w:tcW w:w="709" w:type="dxa"/>
            <w:shd w:val="clear" w:color="auto" w:fill="auto"/>
          </w:tcPr>
          <w:p w14:paraId="39EFF4BC" w14:textId="77777777" w:rsidR="00C739D1" w:rsidRPr="00DD030B" w:rsidRDefault="00C739D1" w:rsidP="008B1A51">
            <w:pPr>
              <w:jc w:val="center"/>
              <w:rPr>
                <w:rFonts w:eastAsia="Calibri"/>
              </w:rPr>
            </w:pPr>
            <w:r w:rsidRPr="00DD030B">
              <w:rPr>
                <w:rFonts w:eastAsia="Calibri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458C947B" w14:textId="77777777" w:rsidR="00C739D1" w:rsidRPr="000D5DF7" w:rsidRDefault="00C739D1" w:rsidP="008B1A51">
            <w:pPr>
              <w:contextualSpacing/>
              <w:rPr>
                <w:rFonts w:eastAsia="Times New Roman"/>
              </w:rPr>
            </w:pPr>
            <w:proofErr w:type="spellStart"/>
            <w:r w:rsidRPr="000D5DF7">
              <w:rPr>
                <w:rFonts w:eastAsia="Times New Roman"/>
              </w:rPr>
              <w:t>Просим</w:t>
            </w:r>
            <w:proofErr w:type="spellEnd"/>
            <w:r w:rsidRPr="000D5DF7">
              <w:rPr>
                <w:rFonts w:eastAsia="Times New Roman"/>
              </w:rPr>
              <w:t xml:space="preserve"> </w:t>
            </w:r>
            <w:proofErr w:type="spellStart"/>
            <w:r w:rsidRPr="000D5DF7">
              <w:rPr>
                <w:rFonts w:eastAsia="Times New Roman"/>
              </w:rPr>
              <w:t>пояснить</w:t>
            </w:r>
            <w:proofErr w:type="spellEnd"/>
            <w:r w:rsidRPr="000D5DF7">
              <w:rPr>
                <w:rFonts w:eastAsia="Times New Roman"/>
              </w:rPr>
              <w:t xml:space="preserve"> </w:t>
            </w:r>
            <w:proofErr w:type="spellStart"/>
            <w:r w:rsidRPr="000D5DF7">
              <w:rPr>
                <w:rFonts w:eastAsia="Times New Roman"/>
              </w:rPr>
              <w:t>какое</w:t>
            </w:r>
            <w:proofErr w:type="spellEnd"/>
            <w:r w:rsidRPr="000D5DF7">
              <w:rPr>
                <w:rFonts w:eastAsia="Times New Roman"/>
              </w:rPr>
              <w:t xml:space="preserve"> </w:t>
            </w:r>
            <w:proofErr w:type="spellStart"/>
            <w:r w:rsidRPr="000D5DF7">
              <w:rPr>
                <w:rFonts w:eastAsia="Times New Roman"/>
              </w:rPr>
              <w:t>изделие</w:t>
            </w:r>
            <w:proofErr w:type="spellEnd"/>
            <w:r w:rsidRPr="000D5DF7">
              <w:rPr>
                <w:rFonts w:eastAsia="Times New Roman"/>
              </w:rPr>
              <w:t xml:space="preserve"> </w:t>
            </w:r>
            <w:proofErr w:type="spellStart"/>
            <w:r w:rsidRPr="000D5DF7">
              <w:rPr>
                <w:rFonts w:eastAsia="Times New Roman"/>
              </w:rPr>
              <w:t>требуется</w:t>
            </w:r>
            <w:proofErr w:type="spellEnd"/>
            <w:r w:rsidRPr="000D5DF7">
              <w:rPr>
                <w:rFonts w:eastAsia="Times New Roman"/>
              </w:rPr>
              <w:t xml:space="preserve"> </w:t>
            </w:r>
            <w:proofErr w:type="spellStart"/>
            <w:r w:rsidRPr="000D5DF7">
              <w:rPr>
                <w:rFonts w:eastAsia="Times New Roman"/>
              </w:rPr>
              <w:t>предлагать</w:t>
            </w:r>
            <w:proofErr w:type="spellEnd"/>
            <w:r w:rsidRPr="000D5DF7">
              <w:rPr>
                <w:rFonts w:eastAsia="Times New Roman"/>
              </w:rPr>
              <w:t xml:space="preserve"> ч.1 п.1.4, </w:t>
            </w:r>
            <w:proofErr w:type="spellStart"/>
            <w:r w:rsidRPr="000D5DF7">
              <w:rPr>
                <w:rFonts w:eastAsia="Times New Roman"/>
              </w:rPr>
              <w:t>укажите</w:t>
            </w:r>
            <w:proofErr w:type="spellEnd"/>
            <w:r w:rsidRPr="000D5DF7">
              <w:rPr>
                <w:rFonts w:eastAsia="Times New Roman"/>
              </w:rPr>
              <w:t xml:space="preserve"> </w:t>
            </w:r>
            <w:proofErr w:type="spellStart"/>
            <w:r w:rsidRPr="000D5DF7">
              <w:rPr>
                <w:rFonts w:eastAsia="Times New Roman"/>
              </w:rPr>
              <w:t>пожалуйста</w:t>
            </w:r>
            <w:proofErr w:type="spellEnd"/>
            <w:r w:rsidRPr="000D5DF7">
              <w:rPr>
                <w:rFonts w:eastAsia="Times New Roman"/>
              </w:rPr>
              <w:t xml:space="preserve"> </w:t>
            </w:r>
            <w:proofErr w:type="spellStart"/>
            <w:r w:rsidRPr="000D5DF7">
              <w:rPr>
                <w:rFonts w:eastAsia="Times New Roman"/>
              </w:rPr>
              <w:t>номер</w:t>
            </w:r>
            <w:proofErr w:type="spellEnd"/>
            <w:r w:rsidRPr="000D5DF7">
              <w:rPr>
                <w:rFonts w:eastAsia="Times New Roman"/>
              </w:rPr>
              <w:t xml:space="preserve"> </w:t>
            </w:r>
            <w:proofErr w:type="spellStart"/>
            <w:r w:rsidRPr="000D5DF7">
              <w:rPr>
                <w:rFonts w:eastAsia="Times New Roman"/>
              </w:rPr>
              <w:t>чертежа</w:t>
            </w:r>
            <w:proofErr w:type="spellEnd"/>
            <w:r w:rsidRPr="000D5DF7">
              <w:rPr>
                <w:rFonts w:eastAsia="Times New Roman"/>
              </w:rPr>
              <w:t xml:space="preserve">, </w:t>
            </w:r>
            <w:proofErr w:type="spellStart"/>
            <w:r w:rsidRPr="000D5DF7">
              <w:rPr>
                <w:rFonts w:eastAsia="Times New Roman"/>
              </w:rPr>
              <w:t>либо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0D5DF7">
              <w:rPr>
                <w:rFonts w:eastAsia="Times New Roman"/>
              </w:rPr>
              <w:t>приложите</w:t>
            </w:r>
            <w:proofErr w:type="spellEnd"/>
            <w:r w:rsidRPr="000D5DF7">
              <w:rPr>
                <w:rFonts w:eastAsia="Times New Roman"/>
              </w:rPr>
              <w:t xml:space="preserve"> </w:t>
            </w:r>
            <w:proofErr w:type="spellStart"/>
            <w:r w:rsidRPr="000D5DF7">
              <w:rPr>
                <w:rFonts w:eastAsia="Times New Roman"/>
              </w:rPr>
              <w:t>фотографии,производителя</w:t>
            </w:r>
            <w:proofErr w:type="spellEnd"/>
            <w:r w:rsidRPr="000D5DF7">
              <w:rPr>
                <w:rFonts w:eastAsia="Times New Roman"/>
              </w:rPr>
              <w:t>?</w:t>
            </w:r>
          </w:p>
          <w:p w14:paraId="3D2917C3" w14:textId="77777777" w:rsidR="00C739D1" w:rsidRPr="000D5DF7" w:rsidRDefault="00C739D1" w:rsidP="008B1A51">
            <w:pPr>
              <w:contextualSpacing/>
              <w:rPr>
                <w:szCs w:val="24"/>
              </w:rPr>
            </w:pPr>
          </w:p>
          <w:p w14:paraId="6C816EF3" w14:textId="77777777" w:rsidR="00C739D1" w:rsidRPr="000D5DF7" w:rsidRDefault="00C739D1" w:rsidP="008B1A51">
            <w:pPr>
              <w:contextualSpacing/>
              <w:rPr>
                <w:i/>
                <w:iCs/>
                <w:szCs w:val="24"/>
              </w:rPr>
            </w:pPr>
            <w:r w:rsidRPr="000D5DF7">
              <w:rPr>
                <w:i/>
                <w:iCs/>
                <w:szCs w:val="24"/>
              </w:rPr>
              <w:t>Lūdzu, paskaidrojiet, kādu preci ir nepieciešams piedāvāt 1.daļas 1.4.punktā, lūdzu, norādiet rasējuma numuru vai pievienojiet ražotāja fotoattēlus?</w:t>
            </w:r>
            <w:r w:rsidRPr="000D5DF7">
              <w:rPr>
                <w:i/>
                <w:iCs/>
                <w:szCs w:val="24"/>
                <w:vertAlign w:val="superscript"/>
              </w:rPr>
              <w:t>*</w:t>
            </w:r>
          </w:p>
        </w:tc>
        <w:tc>
          <w:tcPr>
            <w:tcW w:w="4574" w:type="dxa"/>
            <w:shd w:val="clear" w:color="auto" w:fill="auto"/>
          </w:tcPr>
          <w:p w14:paraId="3C8A5BAF" w14:textId="77777777" w:rsidR="00C739D1" w:rsidRPr="006A2689" w:rsidRDefault="00C739D1" w:rsidP="008B1A51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6A2689">
              <w:rPr>
                <w:sz w:val="24"/>
                <w:szCs w:val="24"/>
              </w:rPr>
              <w:t xml:space="preserve">Skaidrojam, ka sarunu procedūras nolikuma priekšmeta </w:t>
            </w:r>
            <w:r w:rsidRPr="006A2689">
              <w:rPr>
                <w:sz w:val="24"/>
                <w:szCs w:val="24"/>
                <w:lang w:eastAsia="en-US"/>
              </w:rPr>
              <w:t xml:space="preserve">1.daļas „Elektropievadi un to rezerves daļas” 1.4.pozīcijai diemžēl nevaram </w:t>
            </w:r>
            <w:r>
              <w:rPr>
                <w:sz w:val="24"/>
                <w:szCs w:val="24"/>
                <w:lang w:eastAsia="en-US"/>
              </w:rPr>
              <w:t xml:space="preserve">norādīt </w:t>
            </w:r>
            <w:r w:rsidRPr="006A2689">
              <w:rPr>
                <w:sz w:val="24"/>
                <w:szCs w:val="24"/>
                <w:lang w:eastAsia="en-US"/>
              </w:rPr>
              <w:t xml:space="preserve">izstrādājuma rasējuma numuru, jo pasūtītāja rīcībā nav </w:t>
            </w:r>
            <w:r>
              <w:rPr>
                <w:sz w:val="24"/>
                <w:szCs w:val="24"/>
                <w:lang w:eastAsia="en-US"/>
              </w:rPr>
              <w:t>š</w:t>
            </w:r>
            <w:r w:rsidRPr="006A2689">
              <w:rPr>
                <w:sz w:val="24"/>
                <w:szCs w:val="24"/>
                <w:lang w:eastAsia="en-US"/>
              </w:rPr>
              <w:t xml:space="preserve">āda informācija. Papildus lūdzam skatīt </w:t>
            </w:r>
            <w:r w:rsidRPr="006A2689">
              <w:rPr>
                <w:sz w:val="24"/>
                <w:szCs w:val="24"/>
              </w:rPr>
              <w:t xml:space="preserve">VAS „Latvijas dzelzceļš” mājas lapā: </w:t>
            </w:r>
            <w:r w:rsidRPr="006A2689">
              <w:rPr>
                <w:i/>
                <w:iCs/>
                <w:sz w:val="24"/>
                <w:szCs w:val="24"/>
              </w:rPr>
              <w:t>https://www.ldz.lv/lv/iepirkumi</w:t>
            </w:r>
            <w:r w:rsidRPr="006A2689">
              <w:rPr>
                <w:sz w:val="24"/>
                <w:szCs w:val="24"/>
              </w:rPr>
              <w:t xml:space="preserve"> šī iepirkuma sadaļā </w:t>
            </w:r>
            <w:r w:rsidRPr="006A2689">
              <w:rPr>
                <w:sz w:val="24"/>
                <w:szCs w:val="24"/>
                <w:lang w:eastAsia="en-US"/>
              </w:rPr>
              <w:t>pielikumā pievienotās nepieciešamo p</w:t>
            </w:r>
            <w:r w:rsidRPr="006A2689">
              <w:rPr>
                <w:sz w:val="24"/>
                <w:szCs w:val="24"/>
              </w:rPr>
              <w:t xml:space="preserve">lastmasas vāciņu autopārslēdzējam (pārmiju pievadam) </w:t>
            </w:r>
            <w:r w:rsidRPr="006A2689">
              <w:rPr>
                <w:sz w:val="24"/>
                <w:szCs w:val="24"/>
                <w:lang w:eastAsia="en-US"/>
              </w:rPr>
              <w:t>fotogrāfijas (1. – 4. fotogrāfija).</w:t>
            </w:r>
          </w:p>
        </w:tc>
      </w:tr>
      <w:tr w:rsidR="00C739D1" w:rsidRPr="007E7C3B" w14:paraId="5EA3203F" w14:textId="77777777" w:rsidTr="00C739D1">
        <w:trPr>
          <w:trHeight w:val="1540"/>
        </w:trPr>
        <w:tc>
          <w:tcPr>
            <w:tcW w:w="709" w:type="dxa"/>
            <w:shd w:val="clear" w:color="auto" w:fill="auto"/>
          </w:tcPr>
          <w:p w14:paraId="58E28351" w14:textId="77777777" w:rsidR="00C739D1" w:rsidRPr="00DD030B" w:rsidRDefault="00C739D1" w:rsidP="008B1A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4D492EC" w14:textId="77777777" w:rsidR="00C739D1" w:rsidRDefault="00C739D1" w:rsidP="008B1A5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Просим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пояснить</w:t>
            </w:r>
            <w:proofErr w:type="spellEnd"/>
            <w:r>
              <w:rPr>
                <w:rFonts w:eastAsia="Times New Roman"/>
              </w:rPr>
              <w:t xml:space="preserve"> ч.7 п.7.3, 7.4 </w:t>
            </w:r>
            <w:proofErr w:type="spellStart"/>
            <w:r>
              <w:rPr>
                <w:rFonts w:eastAsia="Times New Roman"/>
              </w:rPr>
              <w:t>какому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чертежу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соответствуют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запрашиваемые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светофоры</w:t>
            </w:r>
            <w:proofErr w:type="spellEnd"/>
            <w:r>
              <w:rPr>
                <w:rFonts w:eastAsia="Times New Roman"/>
              </w:rPr>
              <w:t>?</w:t>
            </w:r>
          </w:p>
          <w:p w14:paraId="6A1508B3" w14:textId="77777777" w:rsidR="00C739D1" w:rsidRDefault="00C739D1" w:rsidP="008B1A51">
            <w:pPr>
              <w:rPr>
                <w:rFonts w:eastAsia="Times New Roman"/>
              </w:rPr>
            </w:pPr>
          </w:p>
          <w:p w14:paraId="43FBB83C" w14:textId="77777777" w:rsidR="00C739D1" w:rsidRPr="006C1BFF" w:rsidRDefault="00C739D1" w:rsidP="008B1A51">
            <w:pPr>
              <w:rPr>
                <w:rFonts w:eastAsia="Times New Roman"/>
                <w:i/>
                <w:iCs/>
                <w:szCs w:val="24"/>
              </w:rPr>
            </w:pPr>
            <w:r w:rsidRPr="006C1BFF">
              <w:rPr>
                <w:i/>
                <w:iCs/>
                <w:szCs w:val="24"/>
              </w:rPr>
              <w:t>Lūdzu paskaidrojiet kādam rasējumam atbilst prasītie luksofori 7.daļas 7.3., 7.4.punktā?</w:t>
            </w:r>
            <w:r w:rsidRPr="006C1BFF">
              <w:rPr>
                <w:i/>
                <w:iCs/>
                <w:szCs w:val="24"/>
                <w:vertAlign w:val="superscript"/>
              </w:rPr>
              <w:t>*</w:t>
            </w:r>
          </w:p>
        </w:tc>
        <w:tc>
          <w:tcPr>
            <w:tcW w:w="4574" w:type="dxa"/>
            <w:shd w:val="clear" w:color="auto" w:fill="auto"/>
          </w:tcPr>
          <w:p w14:paraId="2AD79D48" w14:textId="77777777" w:rsidR="00C739D1" w:rsidRPr="006A2689" w:rsidRDefault="00C739D1" w:rsidP="008B1A51">
            <w:pPr>
              <w:rPr>
                <w:szCs w:val="24"/>
              </w:rPr>
            </w:pPr>
            <w:r w:rsidRPr="006A2689">
              <w:rPr>
                <w:szCs w:val="24"/>
              </w:rPr>
              <w:t>Zemāk ir norādīta konkrētāka informācija par sarunu procedūras nolikuma priekšmeta 7.daļas „Gaismas diožu galviņas” 7.3. un 7.4.pozīciju optiskām sistēmām:</w:t>
            </w:r>
          </w:p>
          <w:tbl>
            <w:tblPr>
              <w:tblW w:w="43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"/>
              <w:gridCol w:w="2103"/>
              <w:gridCol w:w="786"/>
              <w:gridCol w:w="655"/>
            </w:tblGrid>
            <w:tr w:rsidR="00C739D1" w14:paraId="65F13AFA" w14:textId="77777777" w:rsidTr="00C739D1">
              <w:trPr>
                <w:trHeight w:val="206"/>
              </w:trPr>
              <w:tc>
                <w:tcPr>
                  <w:tcW w:w="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B99193" w14:textId="77777777" w:rsidR="00C739D1" w:rsidRPr="001163C2" w:rsidRDefault="00C739D1" w:rsidP="008B1A51">
                  <w:pPr>
                    <w:spacing w:before="240" w:line="252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3C2">
                    <w:rPr>
                      <w:color w:val="000000"/>
                      <w:sz w:val="20"/>
                      <w:szCs w:val="20"/>
                    </w:rPr>
                    <w:t>7.3.</w:t>
                  </w:r>
                </w:p>
              </w:tc>
              <w:tc>
                <w:tcPr>
                  <w:tcW w:w="21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1273A4" w14:textId="77777777" w:rsidR="00C739D1" w:rsidRPr="001163C2" w:rsidRDefault="00C739D1" w:rsidP="008B1A51">
                  <w:pPr>
                    <w:spacing w:line="252" w:lineRule="auto"/>
                    <w:rPr>
                      <w:color w:val="000000"/>
                      <w:sz w:val="20"/>
                      <w:szCs w:val="20"/>
                    </w:rPr>
                  </w:pPr>
                  <w:r w:rsidRPr="001163C2">
                    <w:rPr>
                      <w:sz w:val="20"/>
                      <w:szCs w:val="20"/>
                    </w:rPr>
                    <w:t xml:space="preserve">Mastu luksofora </w:t>
                  </w:r>
                  <w:proofErr w:type="spellStart"/>
                  <w:r w:rsidRPr="001163C2">
                    <w:rPr>
                      <w:sz w:val="20"/>
                      <w:szCs w:val="20"/>
                    </w:rPr>
                    <w:t>gaismdiožu</w:t>
                  </w:r>
                  <w:proofErr w:type="spellEnd"/>
                  <w:r w:rsidRPr="001163C2">
                    <w:rPr>
                      <w:sz w:val="20"/>
                      <w:szCs w:val="20"/>
                    </w:rPr>
                    <w:t xml:space="preserve"> galviņa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163C2">
                    <w:rPr>
                      <w:sz w:val="20"/>
                      <w:szCs w:val="20"/>
                    </w:rPr>
                    <w:t>УХЛ1 IP54 zila ar CCM200-C-02 tipa sistēmu</w:t>
                  </w: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EB401B" w14:textId="77777777" w:rsidR="00C739D1" w:rsidRPr="001163C2" w:rsidRDefault="00C739D1" w:rsidP="008B1A51">
                  <w:pPr>
                    <w:spacing w:line="252" w:lineRule="auto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1163C2">
                    <w:rPr>
                      <w:sz w:val="20"/>
                      <w:szCs w:val="20"/>
                      <w:lang w:val="en-GB"/>
                    </w:rPr>
                    <w:t>gab.</w:t>
                  </w:r>
                </w:p>
              </w:tc>
              <w:tc>
                <w:tcPr>
                  <w:tcW w:w="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072A5F" w14:textId="77777777" w:rsidR="00C739D1" w:rsidRPr="001163C2" w:rsidRDefault="00C739D1" w:rsidP="008B1A51">
                  <w:pPr>
                    <w:spacing w:before="240" w:line="252" w:lineRule="auto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1163C2">
                    <w:rPr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2</w:t>
                  </w:r>
                </w:p>
              </w:tc>
            </w:tr>
            <w:tr w:rsidR="00C739D1" w14:paraId="7388CEE3" w14:textId="77777777" w:rsidTr="00C739D1">
              <w:trPr>
                <w:trHeight w:val="206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70790F" w14:textId="77777777" w:rsidR="00C739D1" w:rsidRPr="001163C2" w:rsidRDefault="00C739D1" w:rsidP="008B1A51">
                  <w:pPr>
                    <w:spacing w:before="240" w:line="252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3C2">
                    <w:rPr>
                      <w:color w:val="000000"/>
                      <w:sz w:val="20"/>
                      <w:szCs w:val="20"/>
                    </w:rPr>
                    <w:t>7.4.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E13865" w14:textId="77777777" w:rsidR="00C739D1" w:rsidRPr="001163C2" w:rsidRDefault="00C739D1" w:rsidP="008B1A51">
                  <w:pPr>
                    <w:spacing w:line="252" w:lineRule="auto"/>
                    <w:rPr>
                      <w:color w:val="000000"/>
                      <w:sz w:val="20"/>
                      <w:szCs w:val="20"/>
                    </w:rPr>
                  </w:pPr>
                  <w:r w:rsidRPr="001163C2">
                    <w:rPr>
                      <w:sz w:val="20"/>
                      <w:szCs w:val="20"/>
                    </w:rPr>
                    <w:t xml:space="preserve">Mastu luksofora </w:t>
                  </w:r>
                  <w:proofErr w:type="spellStart"/>
                  <w:r w:rsidRPr="001163C2">
                    <w:rPr>
                      <w:sz w:val="20"/>
                      <w:szCs w:val="20"/>
                    </w:rPr>
                    <w:t>gaismdiožu</w:t>
                  </w:r>
                  <w:proofErr w:type="spellEnd"/>
                  <w:r w:rsidRPr="001163C2">
                    <w:rPr>
                      <w:sz w:val="20"/>
                      <w:szCs w:val="20"/>
                    </w:rPr>
                    <w:t xml:space="preserve"> galviņa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163C2">
                    <w:rPr>
                      <w:sz w:val="20"/>
                      <w:szCs w:val="20"/>
                    </w:rPr>
                    <w:t>УХЛ1 IP54 dzeltena ar CCM200-Ж-02 tipa sistēmu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3D75F2" w14:textId="77777777" w:rsidR="00C739D1" w:rsidRPr="001163C2" w:rsidRDefault="00C739D1" w:rsidP="008B1A51">
                  <w:pPr>
                    <w:spacing w:line="252" w:lineRule="auto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1163C2">
                    <w:rPr>
                      <w:sz w:val="20"/>
                      <w:szCs w:val="20"/>
                      <w:lang w:val="en-GB"/>
                    </w:rPr>
                    <w:t>gab.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E2BD65" w14:textId="77777777" w:rsidR="00C739D1" w:rsidRPr="001163C2" w:rsidRDefault="00C739D1" w:rsidP="008B1A51">
                  <w:pPr>
                    <w:spacing w:before="240" w:line="252" w:lineRule="auto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1163C2">
                    <w:rPr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1</w:t>
                  </w:r>
                </w:p>
              </w:tc>
            </w:tr>
          </w:tbl>
          <w:p w14:paraId="6275DCC3" w14:textId="77777777" w:rsidR="00C739D1" w:rsidRPr="00DD030B" w:rsidRDefault="00C739D1" w:rsidP="008B1A51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3318F0F2" w14:textId="77777777" w:rsidR="00C739D1" w:rsidRPr="00C20434" w:rsidRDefault="00C739D1" w:rsidP="00C739D1">
      <w:pPr>
        <w:ind w:left="-567" w:right="-766"/>
        <w:rPr>
          <w:rFonts w:ascii="Arial" w:hAnsi="Arial" w:cs="Arial"/>
        </w:rPr>
      </w:pPr>
      <w:r w:rsidRPr="00DD030B">
        <w:rPr>
          <w:i/>
          <w:iCs/>
          <w:sz w:val="20"/>
          <w:szCs w:val="20"/>
          <w:vertAlign w:val="superscript"/>
        </w:rPr>
        <w:t>*</w:t>
      </w:r>
      <w:r w:rsidRPr="00DD030B">
        <w:rPr>
          <w:rFonts w:eastAsia="Calibri"/>
          <w:i/>
          <w:iCs/>
          <w:sz w:val="20"/>
          <w:szCs w:val="20"/>
        </w:rPr>
        <w:t>N</w:t>
      </w:r>
      <w:r w:rsidRPr="00DD030B">
        <w:rPr>
          <w:i/>
          <w:iCs/>
          <w:sz w:val="20"/>
          <w:szCs w:val="20"/>
        </w:rPr>
        <w:t xml:space="preserve">orādām, ka ieinteresētais piegādātājs iesniedza dokumentu ar jautājumu par sarunu procedūras nolikuma prasībām krievu valodā un bez attiecīga tulkojuma latviešu valodā, neievērojot </w:t>
      </w:r>
      <w:r w:rsidRPr="00DD030B">
        <w:rPr>
          <w:i/>
          <w:iCs/>
          <w:color w:val="333333"/>
          <w:sz w:val="20"/>
          <w:szCs w:val="20"/>
        </w:rPr>
        <w:t xml:space="preserve">sarunu procedūras nolikuma 1.7.3.punkta nosacījumus. Dokumentu </w:t>
      </w:r>
      <w:r w:rsidRPr="00DD030B">
        <w:rPr>
          <w:i/>
          <w:iCs/>
          <w:sz w:val="20"/>
          <w:szCs w:val="20"/>
        </w:rPr>
        <w:t xml:space="preserve">iesniegšana svešvalodā un bez tulkojuma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 w:rsidRPr="00DD030B">
        <w:rPr>
          <w:b/>
          <w:bCs/>
          <w:i/>
          <w:iCs/>
          <w:sz w:val="20"/>
          <w:szCs w:val="20"/>
          <w:u w:val="single"/>
        </w:rPr>
        <w:t>pasūtītājs neatbild par saņemtā dokumenta tulkojumu pareizību.</w:t>
      </w:r>
    </w:p>
    <w:p w14:paraId="0CBEA16E" w14:textId="77777777" w:rsidR="00C739D1" w:rsidRPr="00C20434" w:rsidRDefault="00C739D1">
      <w:pPr>
        <w:rPr>
          <w:rFonts w:ascii="Arial" w:hAnsi="Arial" w:cs="Arial"/>
        </w:rPr>
      </w:pPr>
    </w:p>
    <w:sectPr w:rsidR="00C739D1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D1"/>
    <w:rsid w:val="003204EA"/>
    <w:rsid w:val="0098236C"/>
    <w:rsid w:val="00B127C0"/>
    <w:rsid w:val="00C20434"/>
    <w:rsid w:val="00C7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2C94"/>
  <w15:chartTrackingRefBased/>
  <w15:docId w15:val="{4A54D517-9846-4DCF-AB63-2C30AB13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39D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C739D1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C739D1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2022-04-25T13:16:00Z</dcterms:created>
  <dcterms:modified xsi:type="dcterms:W3CDTF">2022-04-25T13:16:00Z</dcterms:modified>
</cp:coreProperties>
</file>