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A554A" w14:textId="77777777" w:rsidR="00E22672" w:rsidRPr="00AB3184" w:rsidRDefault="00E22672" w:rsidP="00E22672">
      <w:pPr>
        <w:tabs>
          <w:tab w:val="left" w:pos="3760"/>
        </w:tabs>
        <w:ind w:left="-284" w:right="-1044" w:firstLine="4395"/>
        <w:jc w:val="right"/>
        <w:rPr>
          <w:rFonts w:eastAsia="Calibri"/>
          <w:i/>
          <w:szCs w:val="24"/>
          <w:lang w:eastAsia="lv-LV"/>
        </w:rPr>
      </w:pPr>
      <w:r w:rsidRPr="00AB3184">
        <w:rPr>
          <w:rFonts w:eastAsia="Calibri"/>
          <w:i/>
          <w:szCs w:val="24"/>
          <w:lang w:eastAsia="lv-LV"/>
        </w:rPr>
        <w:t>APSTIPRINĀTS:</w:t>
      </w:r>
    </w:p>
    <w:p w14:paraId="6E76DDDC" w14:textId="5E66E6D2" w:rsidR="00E22672" w:rsidRPr="008951BD" w:rsidRDefault="00E22672" w:rsidP="00E22672">
      <w:pPr>
        <w:tabs>
          <w:tab w:val="left" w:pos="3760"/>
        </w:tabs>
        <w:ind w:right="-1044"/>
        <w:jc w:val="right"/>
        <w:rPr>
          <w:rFonts w:eastAsia="Calibri"/>
          <w:i/>
          <w:szCs w:val="24"/>
          <w:lang w:eastAsia="lv-LV"/>
        </w:rPr>
      </w:pPr>
      <w:r w:rsidRPr="00AB3184">
        <w:rPr>
          <w:rFonts w:eastAsia="Calibri"/>
          <w:i/>
          <w:szCs w:val="24"/>
          <w:lang w:eastAsia="lv-LV"/>
        </w:rPr>
        <w:t xml:space="preserve">ar iepirkuma komisijas </w:t>
      </w:r>
      <w:r w:rsidRPr="00AB3184">
        <w:rPr>
          <w:rFonts w:eastAsia="Arial Unicode MS"/>
          <w:i/>
          <w:szCs w:val="24"/>
          <w:lang w:eastAsia="lv-LV"/>
        </w:rPr>
        <w:t xml:space="preserve">2021.gada </w:t>
      </w:r>
      <w:r>
        <w:rPr>
          <w:rFonts w:eastAsia="Arial Unicode MS"/>
          <w:i/>
          <w:szCs w:val="24"/>
          <w:lang w:eastAsia="lv-LV"/>
        </w:rPr>
        <w:t>29.aprīļa</w:t>
      </w:r>
      <w:r w:rsidRPr="008951BD">
        <w:rPr>
          <w:rFonts w:eastAsia="Arial Unicode MS"/>
          <w:i/>
          <w:szCs w:val="24"/>
          <w:lang w:eastAsia="lv-LV"/>
        </w:rPr>
        <w:t xml:space="preserve"> </w:t>
      </w:r>
    </w:p>
    <w:p w14:paraId="612A2300" w14:textId="42C177B1" w:rsidR="00E22672" w:rsidRDefault="00E22672" w:rsidP="00E22672">
      <w:pPr>
        <w:ind w:right="-1044"/>
        <w:jc w:val="right"/>
        <w:rPr>
          <w:rFonts w:eastAsia="Arial Unicode MS"/>
          <w:i/>
          <w:szCs w:val="24"/>
          <w:lang w:eastAsia="lv-LV"/>
        </w:rPr>
      </w:pPr>
      <w:r w:rsidRPr="008951BD">
        <w:rPr>
          <w:rFonts w:eastAsia="Arial Unicode MS"/>
          <w:i/>
          <w:szCs w:val="24"/>
          <w:lang w:eastAsia="lv-LV"/>
        </w:rPr>
        <w:t>sēdes protokolu Nr.</w:t>
      </w:r>
      <w:r>
        <w:rPr>
          <w:rFonts w:eastAsia="Arial Unicode MS"/>
          <w:i/>
          <w:szCs w:val="24"/>
          <w:lang w:eastAsia="lv-LV"/>
        </w:rPr>
        <w:t>3</w:t>
      </w:r>
    </w:p>
    <w:p w14:paraId="15EC6B6C" w14:textId="343C4209" w:rsidR="0098236C" w:rsidRDefault="0098236C">
      <w:pPr>
        <w:rPr>
          <w:rFonts w:ascii="Arial" w:hAnsi="Arial" w:cs="Arial"/>
        </w:rPr>
      </w:pPr>
    </w:p>
    <w:p w14:paraId="06BE1B48" w14:textId="46293BA0" w:rsidR="00E22672" w:rsidRDefault="00E22672">
      <w:pPr>
        <w:rPr>
          <w:rFonts w:ascii="Arial" w:hAnsi="Arial" w:cs="Arial"/>
        </w:rPr>
      </w:pPr>
    </w:p>
    <w:p w14:paraId="20B613A0" w14:textId="77777777" w:rsidR="00E22672" w:rsidRPr="00681731" w:rsidRDefault="00E22672" w:rsidP="00E22672">
      <w:pPr>
        <w:jc w:val="right"/>
        <w:rPr>
          <w:b/>
          <w:i/>
        </w:rPr>
      </w:pPr>
    </w:p>
    <w:p w14:paraId="36E131E2" w14:textId="324E7C0A" w:rsidR="00E22672" w:rsidRPr="00E22672" w:rsidRDefault="00E22672" w:rsidP="00E22672">
      <w:pPr>
        <w:jc w:val="center"/>
        <w:rPr>
          <w:b/>
        </w:rPr>
      </w:pPr>
      <w:r w:rsidRPr="00681731">
        <w:rPr>
          <w:b/>
        </w:rPr>
        <w:t>VAS </w:t>
      </w:r>
      <w:r w:rsidRPr="00681731">
        <w:rPr>
          <w:b/>
          <w:color w:val="222222"/>
        </w:rPr>
        <w:t>„</w:t>
      </w:r>
      <w:r w:rsidRPr="00681731">
        <w:rPr>
          <w:b/>
        </w:rPr>
        <w:t xml:space="preserve">Latvijas dzelzceļš” </w:t>
      </w:r>
    </w:p>
    <w:p w14:paraId="3A821445" w14:textId="77777777" w:rsidR="00E22672" w:rsidRPr="00681731" w:rsidRDefault="00E22672" w:rsidP="00E22672">
      <w:pPr>
        <w:ind w:left="142" w:right="-1"/>
        <w:jc w:val="center"/>
        <w:rPr>
          <w:b/>
        </w:rPr>
      </w:pPr>
      <w:r w:rsidRPr="00681731">
        <w:rPr>
          <w:b/>
        </w:rPr>
        <w:t>sarunu procedūras ar publikāciju</w:t>
      </w:r>
    </w:p>
    <w:p w14:paraId="2B506B17" w14:textId="77777777" w:rsidR="00E22672" w:rsidRPr="000B2348" w:rsidRDefault="00E22672" w:rsidP="00E22672">
      <w:pPr>
        <w:jc w:val="center"/>
        <w:rPr>
          <w:b/>
          <w:bCs/>
          <w:szCs w:val="24"/>
        </w:rPr>
      </w:pPr>
      <w:r w:rsidRPr="000B2348">
        <w:rPr>
          <w:b/>
          <w:bCs/>
          <w:color w:val="222222"/>
          <w:szCs w:val="24"/>
        </w:rPr>
        <w:t>„</w:t>
      </w:r>
      <w:r w:rsidRPr="000B2348">
        <w:rPr>
          <w:b/>
          <w:bCs/>
          <w:szCs w:val="24"/>
        </w:rPr>
        <w:t>Lokomotīvju videonovērošanas sistēmu (LVNS) piegāde</w:t>
      </w:r>
    </w:p>
    <w:p w14:paraId="47292AE5" w14:textId="77777777" w:rsidR="00E22672" w:rsidRDefault="00E22672" w:rsidP="00E22672">
      <w:pPr>
        <w:jc w:val="center"/>
        <w:rPr>
          <w:b/>
          <w:bCs/>
          <w:szCs w:val="24"/>
        </w:rPr>
      </w:pPr>
      <w:r w:rsidRPr="000B2348">
        <w:rPr>
          <w:b/>
          <w:bCs/>
          <w:szCs w:val="24"/>
        </w:rPr>
        <w:t xml:space="preserve"> un uzstādīšana SIA „LDZ CARGO” vajadzībām”</w:t>
      </w:r>
    </w:p>
    <w:p w14:paraId="115F6F5B" w14:textId="77777777" w:rsidR="00E22672" w:rsidRPr="00CE625E" w:rsidRDefault="00E22672" w:rsidP="00E22672">
      <w:pPr>
        <w:jc w:val="center"/>
        <w:rPr>
          <w:rFonts w:eastAsia="Calibri"/>
        </w:rPr>
      </w:pPr>
      <w:r w:rsidRPr="00CE625E">
        <w:rPr>
          <w:szCs w:val="24"/>
        </w:rPr>
        <w:t>(turpmāk – sarunu procedūra)</w:t>
      </w:r>
    </w:p>
    <w:p w14:paraId="153FB992" w14:textId="77777777" w:rsidR="00E22672" w:rsidRPr="00681731" w:rsidRDefault="00E22672" w:rsidP="00E22672">
      <w:pPr>
        <w:ind w:left="284" w:right="282"/>
        <w:rPr>
          <w:rFonts w:eastAsia="Calibri"/>
        </w:rPr>
      </w:pPr>
    </w:p>
    <w:p w14:paraId="48BEE2C4" w14:textId="77777777" w:rsidR="00E22672" w:rsidRPr="00E308A2" w:rsidRDefault="00E22672" w:rsidP="00E22672">
      <w:pPr>
        <w:ind w:left="284" w:right="282"/>
        <w:jc w:val="center"/>
        <w:rPr>
          <w:rFonts w:eastAsia="Calibri"/>
          <w:b/>
        </w:rPr>
      </w:pPr>
      <w:r w:rsidRPr="00681731">
        <w:rPr>
          <w:rFonts w:eastAsia="Calibri"/>
          <w:b/>
        </w:rPr>
        <w:t>Skaidrojums Nr.</w:t>
      </w:r>
      <w:r>
        <w:rPr>
          <w:rFonts w:eastAsia="Calibri"/>
          <w:b/>
        </w:rPr>
        <w:t>2</w:t>
      </w:r>
    </w:p>
    <w:p w14:paraId="5E0E530A" w14:textId="77777777" w:rsidR="00E22672" w:rsidRPr="00291EAB" w:rsidRDefault="00E22672" w:rsidP="00E22672">
      <w:pPr>
        <w:ind w:left="284" w:right="282"/>
        <w:jc w:val="center"/>
        <w:rPr>
          <w:rFonts w:eastAsia="Calibri"/>
          <w:b/>
          <w:highlight w:val="yellow"/>
        </w:rPr>
      </w:pPr>
    </w:p>
    <w:tbl>
      <w:tblPr>
        <w:tblW w:w="99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475"/>
        <w:gridCol w:w="4752"/>
      </w:tblGrid>
      <w:tr w:rsidR="00E22672" w:rsidRPr="001B0D7A" w14:paraId="3214EA30" w14:textId="77777777" w:rsidTr="00E22672">
        <w:trPr>
          <w:trHeight w:val="635"/>
        </w:trPr>
        <w:tc>
          <w:tcPr>
            <w:tcW w:w="709" w:type="dxa"/>
            <w:shd w:val="clear" w:color="auto" w:fill="FFF2CC"/>
            <w:vAlign w:val="center"/>
          </w:tcPr>
          <w:p w14:paraId="66949EAA" w14:textId="77777777" w:rsidR="00E22672" w:rsidRPr="001B0D7A" w:rsidRDefault="00E22672" w:rsidP="00FC56BC">
            <w:pPr>
              <w:contextualSpacing/>
              <w:jc w:val="center"/>
              <w:rPr>
                <w:rFonts w:eastAsia="Calibri"/>
                <w:b/>
              </w:rPr>
            </w:pPr>
            <w:r w:rsidRPr="001B0D7A">
              <w:rPr>
                <w:rFonts w:eastAsia="Calibri"/>
                <w:b/>
              </w:rPr>
              <w:t>Nr.</w:t>
            </w:r>
          </w:p>
          <w:p w14:paraId="6E97DF82" w14:textId="77777777" w:rsidR="00E22672" w:rsidRPr="001B0D7A" w:rsidRDefault="00E22672" w:rsidP="00FC56BC">
            <w:pPr>
              <w:contextualSpacing/>
              <w:jc w:val="center"/>
              <w:rPr>
                <w:rFonts w:eastAsia="Calibri"/>
                <w:b/>
              </w:rPr>
            </w:pPr>
            <w:r w:rsidRPr="001B0D7A">
              <w:rPr>
                <w:rFonts w:eastAsia="Calibri"/>
                <w:b/>
              </w:rPr>
              <w:t>p.k.</w:t>
            </w:r>
          </w:p>
        </w:tc>
        <w:tc>
          <w:tcPr>
            <w:tcW w:w="4475" w:type="dxa"/>
            <w:shd w:val="clear" w:color="auto" w:fill="FFF2CC"/>
            <w:vAlign w:val="center"/>
          </w:tcPr>
          <w:p w14:paraId="536672D0" w14:textId="77777777" w:rsidR="00E22672" w:rsidRPr="001B0D7A" w:rsidRDefault="00E22672" w:rsidP="00FC56BC">
            <w:pPr>
              <w:contextualSpacing/>
              <w:jc w:val="center"/>
              <w:rPr>
                <w:rFonts w:eastAsia="Calibri"/>
                <w:b/>
                <w:i/>
              </w:rPr>
            </w:pPr>
            <w:r w:rsidRPr="001B0D7A">
              <w:rPr>
                <w:rFonts w:eastAsia="Calibri"/>
                <w:b/>
                <w:i/>
              </w:rPr>
              <w:t>Jautājums</w:t>
            </w:r>
          </w:p>
        </w:tc>
        <w:tc>
          <w:tcPr>
            <w:tcW w:w="4752" w:type="dxa"/>
            <w:shd w:val="clear" w:color="auto" w:fill="FFF2CC"/>
            <w:vAlign w:val="center"/>
          </w:tcPr>
          <w:p w14:paraId="1C4F87AE" w14:textId="77777777" w:rsidR="00E22672" w:rsidRPr="001B0D7A" w:rsidRDefault="00E22672" w:rsidP="00FC56BC">
            <w:pPr>
              <w:contextualSpacing/>
              <w:jc w:val="center"/>
              <w:rPr>
                <w:rFonts w:eastAsia="Calibri"/>
                <w:b/>
                <w:i/>
                <w:highlight w:val="yellow"/>
              </w:rPr>
            </w:pPr>
            <w:r w:rsidRPr="001B0D7A">
              <w:rPr>
                <w:rFonts w:eastAsia="Calibri"/>
                <w:b/>
                <w:i/>
              </w:rPr>
              <w:t>Atbilde</w:t>
            </w:r>
          </w:p>
        </w:tc>
      </w:tr>
      <w:tr w:rsidR="00E22672" w:rsidRPr="001B0D7A" w14:paraId="34DECB59" w14:textId="77777777" w:rsidTr="00E22672">
        <w:trPr>
          <w:trHeight w:val="401"/>
        </w:trPr>
        <w:tc>
          <w:tcPr>
            <w:tcW w:w="709" w:type="dxa"/>
            <w:shd w:val="clear" w:color="auto" w:fill="auto"/>
          </w:tcPr>
          <w:p w14:paraId="67691451" w14:textId="77777777" w:rsidR="00E22672" w:rsidRPr="001B0D7A" w:rsidRDefault="00E22672" w:rsidP="00FC56BC">
            <w:pPr>
              <w:contextualSpacing/>
              <w:jc w:val="center"/>
              <w:rPr>
                <w:rFonts w:eastAsia="Calibri"/>
              </w:rPr>
            </w:pPr>
            <w:r w:rsidRPr="001B0D7A">
              <w:rPr>
                <w:rFonts w:eastAsia="Calibri"/>
              </w:rPr>
              <w:t>1.</w:t>
            </w:r>
          </w:p>
        </w:tc>
        <w:tc>
          <w:tcPr>
            <w:tcW w:w="4475" w:type="dxa"/>
            <w:shd w:val="clear" w:color="auto" w:fill="auto"/>
          </w:tcPr>
          <w:p w14:paraId="453D624F" w14:textId="77777777" w:rsidR="00E22672" w:rsidRPr="001B0D7A" w:rsidRDefault="00E22672" w:rsidP="00FC56BC">
            <w:pPr>
              <w:contextualSpacing/>
              <w:rPr>
                <w:rFonts w:eastAsia="Times New Roman"/>
                <w:color w:val="000000"/>
                <w:shd w:val="clear" w:color="auto" w:fill="FFFFFF"/>
              </w:rPr>
            </w:pPr>
            <w:r>
              <w:rPr>
                <w:rFonts w:eastAsia="Times New Roman"/>
                <w:color w:val="000000"/>
                <w:shd w:val="clear" w:color="auto" w:fill="FFFFFF"/>
              </w:rPr>
              <w:t>Lūdzam sniegt papildu informāciju, ja Valsts ieņēmumu dienests ir pieņemts lēmums par labprātīgu nodokļu maksājumu izpildi (faktiski ir piešķirts nodokļu nomaksas grafiks), vai tas ir pretrunā ar sarunu procedūras ar publikāciju nolikuma 8.2.p?</w:t>
            </w:r>
          </w:p>
        </w:tc>
        <w:tc>
          <w:tcPr>
            <w:tcW w:w="4752" w:type="dxa"/>
            <w:shd w:val="clear" w:color="auto" w:fill="auto"/>
          </w:tcPr>
          <w:p w14:paraId="5EF14657" w14:textId="77777777" w:rsidR="00E22672" w:rsidRDefault="00E22672" w:rsidP="00FC56BC">
            <w:pPr>
              <w:spacing w:line="252" w:lineRule="auto"/>
              <w:rPr>
                <w:sz w:val="22"/>
                <w:lang w:eastAsia="lv-LV"/>
              </w:rPr>
            </w:pPr>
            <w:r>
              <w:rPr>
                <w:szCs w:val="24"/>
                <w:lang w:eastAsia="lv-LV"/>
              </w:rPr>
              <w:t xml:space="preserve">Skaidrojam, ka, lai pārliecinātos par sarunu procedūras nolikuma 8.2.punktā minētā noteikuma neattiecināmību, pasūtītājs </w:t>
            </w:r>
            <w:r>
              <w:rPr>
                <w:lang w:eastAsia="lv-LV"/>
              </w:rPr>
              <w:t xml:space="preserve">pārliecināsies par pretendentam – nodokļu (nodevu) maksātājam administrētajiem nodokļu (nodevu) parādiem ņemot vērā informāciju, </w:t>
            </w:r>
            <w:r>
              <w:rPr>
                <w:color w:val="212529"/>
              </w:rPr>
              <w:t>kas ievietota Ministru kabineta noteiktajā informācijas sistēmā Valsts ieņēmumu dienesta publiskajā nodokļu parādnieku datubāzē</w:t>
            </w:r>
            <w:r>
              <w:rPr>
                <w:lang w:eastAsia="lv-LV"/>
              </w:rPr>
              <w:t>.</w:t>
            </w:r>
          </w:p>
          <w:p w14:paraId="6924690B" w14:textId="77777777" w:rsidR="00E22672" w:rsidRPr="004D7E27" w:rsidRDefault="00E22672" w:rsidP="00FC56BC">
            <w:pPr>
              <w:rPr>
                <w:szCs w:val="24"/>
                <w:lang w:eastAsia="lv-LV"/>
              </w:rPr>
            </w:pPr>
            <w:r>
              <w:rPr>
                <w:szCs w:val="24"/>
              </w:rPr>
              <w:t>Gadījumā, ja minētajā datubāzē pretendentam tiks</w:t>
            </w:r>
            <w:r w:rsidRPr="00CE625E">
              <w:rPr>
                <w:szCs w:val="24"/>
              </w:rPr>
              <w:t xml:space="preserve"> </w:t>
            </w:r>
            <w:r>
              <w:rPr>
                <w:szCs w:val="24"/>
              </w:rPr>
              <w:t xml:space="preserve">konstatēts </w:t>
            </w:r>
            <w:r w:rsidRPr="00CE625E">
              <w:rPr>
                <w:szCs w:val="24"/>
              </w:rPr>
              <w:t>nodokļu (nodevu) parāds</w:t>
            </w:r>
            <w:r>
              <w:rPr>
                <w:szCs w:val="24"/>
              </w:rPr>
              <w:t xml:space="preserve">, kas ir </w:t>
            </w:r>
            <w:r w:rsidRPr="00CE625E">
              <w:rPr>
                <w:szCs w:val="24"/>
                <w:lang w:eastAsia="lv-LV"/>
              </w:rPr>
              <w:t>lielāks par 150 EU</w:t>
            </w:r>
            <w:r>
              <w:rPr>
                <w:szCs w:val="24"/>
                <w:lang w:eastAsia="lv-LV"/>
              </w:rPr>
              <w:t>R</w:t>
            </w:r>
            <w:r w:rsidRPr="00CE625E">
              <w:rPr>
                <w:szCs w:val="24"/>
              </w:rPr>
              <w:t xml:space="preserve">, </w:t>
            </w:r>
            <w:r>
              <w:rPr>
                <w:szCs w:val="24"/>
              </w:rPr>
              <w:t xml:space="preserve">pasūtītājs lūgs pretendentam </w:t>
            </w:r>
            <w:r w:rsidRPr="00CE625E">
              <w:rPr>
                <w:szCs w:val="24"/>
              </w:rPr>
              <w:t xml:space="preserve">iesniegt dokumentus, kas </w:t>
            </w:r>
            <w:r>
              <w:rPr>
                <w:szCs w:val="24"/>
              </w:rPr>
              <w:t>apliecina</w:t>
            </w:r>
            <w:r w:rsidRPr="00CE625E">
              <w:rPr>
                <w:szCs w:val="24"/>
              </w:rPr>
              <w:t xml:space="preserve"> sarunu procedūras nolikumā minētā noteikuma neattiecināmību.</w:t>
            </w:r>
          </w:p>
        </w:tc>
      </w:tr>
    </w:tbl>
    <w:p w14:paraId="622BF4F0" w14:textId="77777777" w:rsidR="00E22672" w:rsidRPr="00C20434" w:rsidRDefault="00E22672" w:rsidP="00E22672">
      <w:pPr>
        <w:rPr>
          <w:rFonts w:ascii="Arial" w:hAnsi="Arial" w:cs="Arial"/>
        </w:rPr>
      </w:pPr>
    </w:p>
    <w:p w14:paraId="4B6092B3" w14:textId="77777777" w:rsidR="00E22672" w:rsidRPr="00C20434" w:rsidRDefault="00E22672" w:rsidP="00E22672">
      <w:pPr>
        <w:rPr>
          <w:rFonts w:ascii="Arial" w:hAnsi="Arial" w:cs="Arial"/>
        </w:rPr>
      </w:pPr>
    </w:p>
    <w:p w14:paraId="4DB52CBC" w14:textId="77777777" w:rsidR="00E22672" w:rsidRPr="00C20434" w:rsidRDefault="00E22672">
      <w:pPr>
        <w:rPr>
          <w:rFonts w:ascii="Arial" w:hAnsi="Arial" w:cs="Arial"/>
        </w:rPr>
      </w:pPr>
    </w:p>
    <w:sectPr w:rsidR="00E22672"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72"/>
    <w:rsid w:val="003204EA"/>
    <w:rsid w:val="007F5B81"/>
    <w:rsid w:val="0098236C"/>
    <w:rsid w:val="00C20434"/>
    <w:rsid w:val="00E226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4778"/>
  <w15:chartTrackingRefBased/>
  <w15:docId w15:val="{4E322F6F-BDC9-4F92-BFFF-525D06D6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22672"/>
    <w:pPr>
      <w:spacing w:after="0" w:line="240" w:lineRule="auto"/>
      <w:jc w:val="both"/>
    </w:pPr>
    <w:rPr>
      <w:rFonts w:ascii="Times New Roman"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753</Words>
  <Characters>430</Characters>
  <Application>Microsoft Office Word</Application>
  <DocSecurity>0</DocSecurity>
  <Lines>3</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2021-04-29T11:28:00Z</dcterms:created>
  <dcterms:modified xsi:type="dcterms:W3CDTF">2021-04-29T11:28:00Z</dcterms:modified>
</cp:coreProperties>
</file>