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1CB5" w14:textId="77777777" w:rsidR="00A07957" w:rsidRPr="00B73371" w:rsidRDefault="00A07957" w:rsidP="00A07957">
      <w:pPr>
        <w:jc w:val="center"/>
        <w:rPr>
          <w:rFonts w:ascii="Arial" w:hAnsi="Arial" w:cs="Arial"/>
          <w:b/>
          <w:sz w:val="22"/>
          <w:szCs w:val="22"/>
          <w:lang w:val="lv-LV"/>
        </w:rPr>
      </w:pPr>
      <w:r w:rsidRPr="00B73371">
        <w:rPr>
          <w:rFonts w:ascii="Arial" w:hAnsi="Arial" w:cs="Arial"/>
          <w:b/>
          <w:sz w:val="22"/>
          <w:szCs w:val="22"/>
          <w:lang w:val="lv-LV"/>
        </w:rPr>
        <w:t>VAS </w:t>
      </w:r>
      <w:r w:rsidRPr="00B73371">
        <w:rPr>
          <w:rFonts w:ascii="Arial" w:hAnsi="Arial" w:cs="Arial"/>
          <w:b/>
          <w:color w:val="222222"/>
          <w:sz w:val="22"/>
          <w:szCs w:val="22"/>
          <w:lang w:val="lv-LV"/>
        </w:rPr>
        <w:t>„</w:t>
      </w:r>
      <w:r w:rsidRPr="00B73371">
        <w:rPr>
          <w:rFonts w:ascii="Arial" w:hAnsi="Arial" w:cs="Arial"/>
          <w:b/>
          <w:sz w:val="22"/>
          <w:szCs w:val="22"/>
          <w:lang w:val="lv-LV"/>
        </w:rPr>
        <w:t xml:space="preserve">Latvijas dzelzceļš” </w:t>
      </w:r>
    </w:p>
    <w:p w14:paraId="43C34570" w14:textId="77777777" w:rsidR="00A07957" w:rsidRPr="00B73371" w:rsidRDefault="00A07957" w:rsidP="00A07957">
      <w:pPr>
        <w:ind w:left="142" w:right="-1"/>
        <w:jc w:val="center"/>
        <w:rPr>
          <w:rFonts w:ascii="Arial" w:hAnsi="Arial" w:cs="Arial"/>
          <w:b/>
          <w:sz w:val="22"/>
          <w:szCs w:val="22"/>
          <w:lang w:val="lv-LV"/>
        </w:rPr>
      </w:pPr>
      <w:r>
        <w:rPr>
          <w:rFonts w:ascii="Arial" w:hAnsi="Arial" w:cs="Arial"/>
          <w:b/>
          <w:sz w:val="22"/>
          <w:szCs w:val="22"/>
          <w:lang w:val="lv-LV"/>
        </w:rPr>
        <w:t>sarunu procedūras</w:t>
      </w:r>
      <w:r w:rsidRPr="00B73371">
        <w:rPr>
          <w:rFonts w:ascii="Arial" w:hAnsi="Arial" w:cs="Arial"/>
          <w:b/>
          <w:sz w:val="22"/>
          <w:szCs w:val="22"/>
          <w:lang w:val="lv-LV"/>
        </w:rPr>
        <w:t xml:space="preserve"> ar publikāciju</w:t>
      </w:r>
    </w:p>
    <w:p w14:paraId="354BB2EE" w14:textId="77777777" w:rsidR="00A07957" w:rsidRPr="00086016" w:rsidRDefault="00A07957" w:rsidP="00A07957">
      <w:pPr>
        <w:ind w:left="284" w:right="282"/>
        <w:jc w:val="center"/>
        <w:rPr>
          <w:rFonts w:ascii="Arial" w:hAnsi="Arial" w:cs="Arial"/>
          <w:b/>
          <w:bCs/>
          <w:color w:val="222222"/>
          <w:sz w:val="22"/>
          <w:szCs w:val="22"/>
          <w:lang w:val="lv-LV"/>
        </w:rPr>
      </w:pPr>
      <w:r w:rsidRPr="00B73371">
        <w:rPr>
          <w:rFonts w:ascii="Arial" w:hAnsi="Arial" w:cs="Arial"/>
          <w:b/>
          <w:bCs/>
          <w:color w:val="222222"/>
          <w:sz w:val="22"/>
          <w:szCs w:val="22"/>
          <w:lang w:val="lv-LV"/>
        </w:rPr>
        <w:t>„</w:t>
      </w:r>
      <w:r w:rsidRPr="00282C6D">
        <w:rPr>
          <w:rFonts w:ascii="Arial" w:hAnsi="Arial" w:cs="Arial"/>
          <w:b/>
          <w:bCs/>
          <w:color w:val="222222"/>
          <w:sz w:val="22"/>
          <w:szCs w:val="22"/>
          <w:lang w:val="lv-LV"/>
        </w:rPr>
        <w:t xml:space="preserve">Kravas vagonu automātisko bremžu rezerves daļu piegāde SIA “LDZ CARGO” </w:t>
      </w:r>
      <w:r w:rsidRPr="00086016">
        <w:rPr>
          <w:rFonts w:ascii="Arial" w:hAnsi="Arial" w:cs="Arial"/>
          <w:b/>
          <w:bCs/>
          <w:color w:val="222222"/>
          <w:sz w:val="22"/>
          <w:szCs w:val="22"/>
          <w:lang w:val="lv-LV"/>
        </w:rPr>
        <w:t>vajadzībām”</w:t>
      </w:r>
    </w:p>
    <w:p w14:paraId="341C14C0" w14:textId="77777777" w:rsidR="00A07957" w:rsidRPr="00C23401" w:rsidRDefault="00A07957" w:rsidP="00A07957">
      <w:pPr>
        <w:ind w:left="284" w:right="282"/>
        <w:jc w:val="center"/>
        <w:rPr>
          <w:rFonts w:ascii="Arial" w:hAnsi="Arial" w:cs="Arial"/>
          <w:b/>
          <w:bCs/>
          <w:color w:val="222222"/>
          <w:sz w:val="22"/>
          <w:szCs w:val="22"/>
          <w:lang w:val="lv-LV"/>
        </w:rPr>
      </w:pPr>
      <w:r w:rsidRPr="00086016">
        <w:rPr>
          <w:rFonts w:ascii="Arial" w:hAnsi="Arial" w:cs="Arial"/>
          <w:b/>
          <w:bCs/>
          <w:sz w:val="22"/>
          <w:szCs w:val="22"/>
          <w:lang w:val="lv-LV" w:eastAsia="ar-SA"/>
        </w:rPr>
        <w:t>(</w:t>
      </w:r>
      <w:r w:rsidRPr="00C23401">
        <w:rPr>
          <w:rFonts w:ascii="Arial" w:hAnsi="Arial" w:cs="Arial"/>
          <w:b/>
          <w:bCs/>
          <w:sz w:val="22"/>
          <w:szCs w:val="22"/>
          <w:lang w:val="lv-LV" w:eastAsia="ar-SA"/>
        </w:rPr>
        <w:t>iepirkuma identifikācijas numurs: LDZ 2026/223-SPA)</w:t>
      </w:r>
    </w:p>
    <w:p w14:paraId="3454DDBF" w14:textId="77777777" w:rsidR="00A07957" w:rsidRPr="00B73371" w:rsidRDefault="00A07957" w:rsidP="00A07957">
      <w:pPr>
        <w:ind w:left="284" w:right="282"/>
        <w:jc w:val="center"/>
        <w:rPr>
          <w:rFonts w:ascii="Arial" w:hAnsi="Arial" w:cs="Arial"/>
          <w:color w:val="222222"/>
          <w:sz w:val="22"/>
          <w:szCs w:val="22"/>
          <w:lang w:val="lv-LV"/>
        </w:rPr>
      </w:pPr>
      <w:r w:rsidRPr="00C23401">
        <w:rPr>
          <w:rFonts w:ascii="Arial" w:hAnsi="Arial" w:cs="Arial"/>
          <w:color w:val="222222"/>
          <w:sz w:val="22"/>
          <w:szCs w:val="22"/>
          <w:lang w:val="lv-LV"/>
        </w:rPr>
        <w:t>(turpmāk – iepirkums)</w:t>
      </w:r>
    </w:p>
    <w:p w14:paraId="36CBB39E" w14:textId="77777777" w:rsidR="00A07957" w:rsidRPr="00B73371" w:rsidRDefault="00A07957" w:rsidP="00A07957">
      <w:pPr>
        <w:ind w:left="284" w:right="282"/>
        <w:jc w:val="center"/>
        <w:rPr>
          <w:rFonts w:ascii="Arial" w:eastAsia="Calibri" w:hAnsi="Arial" w:cs="Arial"/>
          <w:b/>
          <w:sz w:val="22"/>
          <w:szCs w:val="22"/>
          <w:lang w:val="lv-LV"/>
        </w:rPr>
      </w:pPr>
    </w:p>
    <w:p w14:paraId="3FB675F6" w14:textId="77777777" w:rsidR="00A07957" w:rsidRPr="00B73371" w:rsidRDefault="00A07957" w:rsidP="00A07957">
      <w:pPr>
        <w:ind w:left="284" w:right="282"/>
        <w:jc w:val="center"/>
        <w:rPr>
          <w:rFonts w:ascii="Arial" w:eastAsia="Calibri" w:hAnsi="Arial" w:cs="Arial"/>
          <w:b/>
          <w:sz w:val="22"/>
          <w:szCs w:val="22"/>
          <w:lang w:val="lv-LV"/>
        </w:rPr>
      </w:pPr>
      <w:r w:rsidRPr="00B73371">
        <w:rPr>
          <w:rFonts w:ascii="Arial" w:eastAsia="Calibri" w:hAnsi="Arial" w:cs="Arial"/>
          <w:b/>
          <w:sz w:val="22"/>
          <w:szCs w:val="22"/>
          <w:lang w:val="lv-LV"/>
        </w:rPr>
        <w:t>Skaidrojums Nr.</w:t>
      </w:r>
      <w:r>
        <w:rPr>
          <w:rFonts w:ascii="Arial" w:eastAsia="Calibri" w:hAnsi="Arial" w:cs="Arial"/>
          <w:b/>
          <w:sz w:val="22"/>
          <w:szCs w:val="22"/>
          <w:lang w:val="lv-LV"/>
        </w:rPr>
        <w:t>2</w:t>
      </w:r>
    </w:p>
    <w:p w14:paraId="55D835BC" w14:textId="77777777" w:rsidR="00A07957" w:rsidRPr="00B73371" w:rsidRDefault="00A07957" w:rsidP="00A07957">
      <w:pPr>
        <w:ind w:left="284" w:right="282"/>
        <w:jc w:val="center"/>
        <w:rPr>
          <w:rFonts w:ascii="Arial" w:eastAsia="Calibri" w:hAnsi="Arial" w:cs="Arial"/>
          <w:b/>
          <w:sz w:val="22"/>
          <w:szCs w:val="22"/>
          <w:highlight w:val="yellow"/>
          <w:lang w:val="lv-LV"/>
        </w:rPr>
      </w:pPr>
    </w:p>
    <w:tbl>
      <w:tblPr>
        <w:tblW w:w="998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4"/>
        <w:gridCol w:w="4170"/>
      </w:tblGrid>
      <w:tr w:rsidR="00A07957" w:rsidRPr="00B73371" w14:paraId="73A64A28" w14:textId="77777777" w:rsidTr="00131086">
        <w:trPr>
          <w:trHeight w:val="657"/>
        </w:trPr>
        <w:tc>
          <w:tcPr>
            <w:tcW w:w="709" w:type="dxa"/>
            <w:shd w:val="clear" w:color="auto" w:fill="FFF2CC"/>
            <w:vAlign w:val="center"/>
          </w:tcPr>
          <w:p w14:paraId="62923F31" w14:textId="77777777" w:rsidR="00A07957" w:rsidRPr="00B73371" w:rsidRDefault="00A07957" w:rsidP="00131086">
            <w:pPr>
              <w:jc w:val="center"/>
              <w:rPr>
                <w:rFonts w:ascii="Arial" w:eastAsia="Calibri" w:hAnsi="Arial" w:cs="Arial"/>
                <w:b/>
                <w:sz w:val="22"/>
                <w:szCs w:val="22"/>
                <w:lang w:val="lv-LV"/>
              </w:rPr>
            </w:pPr>
            <w:r w:rsidRPr="00B73371">
              <w:rPr>
                <w:rFonts w:ascii="Arial" w:eastAsia="Calibri" w:hAnsi="Arial" w:cs="Arial"/>
                <w:b/>
                <w:sz w:val="22"/>
                <w:szCs w:val="22"/>
                <w:lang w:val="lv-LV"/>
              </w:rPr>
              <w:t>Nr.</w:t>
            </w:r>
          </w:p>
          <w:p w14:paraId="1F8F2919" w14:textId="77777777" w:rsidR="00A07957" w:rsidRPr="00B73371" w:rsidRDefault="00A07957" w:rsidP="00131086">
            <w:pPr>
              <w:jc w:val="center"/>
              <w:rPr>
                <w:rFonts w:ascii="Arial" w:eastAsia="Calibri" w:hAnsi="Arial" w:cs="Arial"/>
                <w:b/>
                <w:sz w:val="22"/>
                <w:szCs w:val="22"/>
                <w:lang w:val="lv-LV"/>
              </w:rPr>
            </w:pPr>
            <w:r w:rsidRPr="00B73371">
              <w:rPr>
                <w:rFonts w:ascii="Arial" w:eastAsia="Calibri" w:hAnsi="Arial" w:cs="Arial"/>
                <w:b/>
                <w:sz w:val="22"/>
                <w:szCs w:val="22"/>
                <w:lang w:val="lv-LV"/>
              </w:rPr>
              <w:t>p.k.</w:t>
            </w:r>
          </w:p>
        </w:tc>
        <w:tc>
          <w:tcPr>
            <w:tcW w:w="5104" w:type="dxa"/>
            <w:shd w:val="clear" w:color="auto" w:fill="FFF2CC"/>
            <w:vAlign w:val="center"/>
          </w:tcPr>
          <w:p w14:paraId="522865F1" w14:textId="77777777" w:rsidR="00A07957" w:rsidRPr="00B73371" w:rsidRDefault="00A07957" w:rsidP="00131086">
            <w:pPr>
              <w:jc w:val="center"/>
              <w:rPr>
                <w:rFonts w:ascii="Arial" w:eastAsia="Calibri" w:hAnsi="Arial" w:cs="Arial"/>
                <w:b/>
                <w:i/>
                <w:sz w:val="22"/>
                <w:szCs w:val="22"/>
                <w:lang w:val="lv-LV"/>
              </w:rPr>
            </w:pPr>
            <w:r w:rsidRPr="00B73371">
              <w:rPr>
                <w:rFonts w:ascii="Arial" w:eastAsia="Calibri" w:hAnsi="Arial" w:cs="Arial"/>
                <w:b/>
                <w:i/>
                <w:sz w:val="22"/>
                <w:szCs w:val="22"/>
                <w:lang w:val="lv-LV"/>
              </w:rPr>
              <w:t>Jautājums</w:t>
            </w:r>
          </w:p>
        </w:tc>
        <w:tc>
          <w:tcPr>
            <w:tcW w:w="4170" w:type="dxa"/>
            <w:shd w:val="clear" w:color="auto" w:fill="FFF2CC"/>
            <w:vAlign w:val="center"/>
          </w:tcPr>
          <w:p w14:paraId="72DBC1CA" w14:textId="77777777" w:rsidR="00A07957" w:rsidRPr="00B73371" w:rsidRDefault="00A07957" w:rsidP="00131086">
            <w:pPr>
              <w:jc w:val="center"/>
              <w:rPr>
                <w:rFonts w:ascii="Arial" w:eastAsia="Calibri" w:hAnsi="Arial" w:cs="Arial"/>
                <w:b/>
                <w:i/>
                <w:sz w:val="22"/>
                <w:szCs w:val="22"/>
                <w:lang w:val="lv-LV"/>
              </w:rPr>
            </w:pPr>
            <w:r w:rsidRPr="00B73371">
              <w:rPr>
                <w:rFonts w:ascii="Arial" w:eastAsia="Calibri" w:hAnsi="Arial" w:cs="Arial"/>
                <w:b/>
                <w:i/>
                <w:sz w:val="22"/>
                <w:szCs w:val="22"/>
                <w:lang w:val="lv-LV"/>
              </w:rPr>
              <w:t>Atbilde</w:t>
            </w:r>
          </w:p>
        </w:tc>
      </w:tr>
      <w:tr w:rsidR="00A07957" w:rsidRPr="00A07957" w14:paraId="2D875BD7" w14:textId="77777777" w:rsidTr="00131086">
        <w:trPr>
          <w:trHeight w:val="539"/>
        </w:trPr>
        <w:tc>
          <w:tcPr>
            <w:tcW w:w="709" w:type="dxa"/>
            <w:shd w:val="clear" w:color="auto" w:fill="auto"/>
          </w:tcPr>
          <w:p w14:paraId="4D77D066" w14:textId="77777777" w:rsidR="00A07957" w:rsidRPr="00B73371" w:rsidRDefault="00A07957" w:rsidP="00131086">
            <w:pPr>
              <w:contextualSpacing/>
              <w:jc w:val="center"/>
              <w:rPr>
                <w:rFonts w:ascii="Arial" w:eastAsia="Calibri" w:hAnsi="Arial" w:cs="Arial"/>
                <w:sz w:val="22"/>
                <w:szCs w:val="22"/>
                <w:lang w:val="lv-LV"/>
              </w:rPr>
            </w:pPr>
            <w:r w:rsidRPr="00B73371">
              <w:rPr>
                <w:rFonts w:ascii="Arial" w:eastAsia="Calibri" w:hAnsi="Arial" w:cs="Arial"/>
                <w:sz w:val="22"/>
                <w:szCs w:val="22"/>
                <w:lang w:val="lv-LV"/>
              </w:rPr>
              <w:t>1.</w:t>
            </w:r>
          </w:p>
        </w:tc>
        <w:tc>
          <w:tcPr>
            <w:tcW w:w="5104" w:type="dxa"/>
            <w:shd w:val="clear" w:color="auto" w:fill="auto"/>
          </w:tcPr>
          <w:p w14:paraId="0882BA3E" w14:textId="77777777" w:rsidR="00A07957" w:rsidRPr="00F20579" w:rsidRDefault="00A07957" w:rsidP="00131086">
            <w:pPr>
              <w:autoSpaceDE w:val="0"/>
              <w:autoSpaceDN w:val="0"/>
              <w:adjustRightInd w:val="0"/>
              <w:contextualSpacing/>
              <w:jc w:val="both"/>
              <w:rPr>
                <w:rFonts w:ascii="Arial" w:hAnsi="Arial" w:cs="Arial"/>
                <w:color w:val="000000"/>
                <w:sz w:val="22"/>
                <w:szCs w:val="22"/>
                <w:lang w:val="ru-RU"/>
              </w:rPr>
            </w:pPr>
            <w:r w:rsidRPr="00F20579">
              <w:rPr>
                <w:rFonts w:ascii="Arial" w:hAnsi="Arial" w:cs="Arial"/>
                <w:color w:val="000000"/>
                <w:sz w:val="22"/>
                <w:szCs w:val="22"/>
                <w:lang w:val="ru-RU"/>
              </w:rPr>
              <w:t>Продукция должна быть изготовлена не ранее какого срока? 12 месяцев, 24 месяца?</w:t>
            </w:r>
          </w:p>
          <w:p w14:paraId="1A2F8031" w14:textId="77777777" w:rsidR="00A07957" w:rsidRDefault="00A07957" w:rsidP="00131086">
            <w:pPr>
              <w:autoSpaceDE w:val="0"/>
              <w:autoSpaceDN w:val="0"/>
              <w:adjustRightInd w:val="0"/>
              <w:contextualSpacing/>
              <w:jc w:val="both"/>
              <w:rPr>
                <w:rFonts w:ascii="Arial" w:hAnsi="Arial" w:cs="Arial"/>
                <w:color w:val="000000"/>
                <w:sz w:val="22"/>
                <w:szCs w:val="22"/>
                <w:lang w:val="lv-LV"/>
              </w:rPr>
            </w:pPr>
          </w:p>
          <w:p w14:paraId="2B559CF6" w14:textId="77777777" w:rsidR="00A07957" w:rsidRPr="00D25F97" w:rsidRDefault="00A07957" w:rsidP="00131086">
            <w:pPr>
              <w:autoSpaceDE w:val="0"/>
              <w:autoSpaceDN w:val="0"/>
              <w:adjustRightInd w:val="0"/>
              <w:contextualSpacing/>
              <w:jc w:val="both"/>
              <w:rPr>
                <w:rFonts w:ascii="Arial" w:hAnsi="Arial" w:cs="Arial"/>
                <w:i/>
                <w:iCs/>
                <w:color w:val="000000"/>
                <w:sz w:val="22"/>
                <w:szCs w:val="22"/>
                <w:u w:val="single"/>
                <w:lang w:val="lv-LV"/>
              </w:rPr>
            </w:pPr>
            <w:r w:rsidRPr="00D25F97">
              <w:rPr>
                <w:rFonts w:ascii="Arial" w:hAnsi="Arial" w:cs="Arial"/>
                <w:i/>
                <w:iCs/>
                <w:sz w:val="22"/>
                <w:szCs w:val="22"/>
                <w:u w:val="single"/>
                <w:vertAlign w:val="superscript"/>
                <w:lang w:val="lv-LV"/>
              </w:rPr>
              <w:t>*</w:t>
            </w:r>
            <w:r w:rsidRPr="00D25F97">
              <w:rPr>
                <w:rFonts w:ascii="Arial" w:hAnsi="Arial" w:cs="Arial"/>
                <w:i/>
                <w:iCs/>
                <w:sz w:val="22"/>
                <w:szCs w:val="22"/>
                <w:u w:val="single"/>
                <w:lang w:val="lv-LV"/>
              </w:rPr>
              <w:t>Tulkojums:</w:t>
            </w:r>
          </w:p>
          <w:p w14:paraId="0E7355F2" w14:textId="77777777" w:rsidR="00A07957" w:rsidRPr="00D25F97" w:rsidRDefault="00A07957" w:rsidP="00131086">
            <w:pPr>
              <w:autoSpaceDE w:val="0"/>
              <w:autoSpaceDN w:val="0"/>
              <w:adjustRightInd w:val="0"/>
              <w:contextualSpacing/>
              <w:jc w:val="both"/>
              <w:rPr>
                <w:rFonts w:ascii="Arial" w:hAnsi="Arial" w:cs="Arial"/>
                <w:color w:val="000000"/>
                <w:sz w:val="22"/>
                <w:szCs w:val="22"/>
                <w:lang w:val="lv-LV"/>
              </w:rPr>
            </w:pPr>
            <w:r w:rsidRPr="00C15DC4">
              <w:rPr>
                <w:rFonts w:ascii="Arial" w:hAnsi="Arial" w:cs="Arial"/>
                <w:i/>
                <w:iCs/>
                <w:sz w:val="22"/>
                <w:szCs w:val="22"/>
                <w:lang w:val="lv-LV"/>
              </w:rPr>
              <w:t>Produktam jābūt ražotam ne agrāk kā pirms kāda datuma? 12 mēnešiem, 24 mēnešiem</w:t>
            </w:r>
            <w:r>
              <w:rPr>
                <w:rFonts w:ascii="Arial" w:hAnsi="Arial" w:cs="Arial"/>
                <w:i/>
                <w:iCs/>
                <w:sz w:val="22"/>
                <w:szCs w:val="22"/>
                <w:lang w:val="lv-LV"/>
              </w:rPr>
              <w:t>?</w:t>
            </w:r>
          </w:p>
        </w:tc>
        <w:tc>
          <w:tcPr>
            <w:tcW w:w="4170" w:type="dxa"/>
            <w:shd w:val="clear" w:color="auto" w:fill="auto"/>
          </w:tcPr>
          <w:p w14:paraId="79B4F0D0" w14:textId="77777777" w:rsidR="00A07957" w:rsidRPr="00B73371" w:rsidRDefault="00A07957" w:rsidP="00131086">
            <w:pPr>
              <w:ind w:right="37"/>
              <w:contextualSpacing/>
              <w:jc w:val="both"/>
              <w:rPr>
                <w:rFonts w:ascii="Arial" w:hAnsi="Arial" w:cs="Arial"/>
                <w:sz w:val="22"/>
                <w:szCs w:val="22"/>
                <w:lang w:val="lv-LV"/>
              </w:rPr>
            </w:pPr>
            <w:r w:rsidRPr="007E6D44">
              <w:rPr>
                <w:rFonts w:ascii="Arial" w:hAnsi="Arial" w:cs="Arial"/>
                <w:sz w:val="22"/>
                <w:szCs w:val="22"/>
                <w:lang w:val="lv-LV"/>
              </w:rPr>
              <w:t>Skaidrojam, ka precei jābūt jaunai, nelietotai, pareizi iepakotai un uzglabātai, bez korozijas pazīmēm</w:t>
            </w:r>
            <w:r>
              <w:rPr>
                <w:rFonts w:ascii="Arial" w:hAnsi="Arial" w:cs="Arial"/>
                <w:sz w:val="22"/>
                <w:szCs w:val="22"/>
                <w:lang w:val="lv-LV"/>
              </w:rPr>
              <w:t xml:space="preserve"> </w:t>
            </w:r>
            <w:r w:rsidRPr="007E6D44">
              <w:rPr>
                <w:rFonts w:ascii="Arial" w:hAnsi="Arial" w:cs="Arial"/>
                <w:sz w:val="22"/>
                <w:szCs w:val="22"/>
                <w:lang w:val="lv-LV"/>
              </w:rPr>
              <w:t>un ražotai ne agrāk kā pirms</w:t>
            </w:r>
            <w:r>
              <w:rPr>
                <w:rFonts w:ascii="Arial" w:hAnsi="Arial" w:cs="Arial"/>
                <w:sz w:val="22"/>
                <w:szCs w:val="22"/>
                <w:lang w:val="lv-LV"/>
              </w:rPr>
              <w:t xml:space="preserve"> </w:t>
            </w:r>
            <w:r w:rsidRPr="007E6D44">
              <w:rPr>
                <w:rFonts w:ascii="Arial" w:hAnsi="Arial" w:cs="Arial"/>
                <w:sz w:val="22"/>
                <w:szCs w:val="22"/>
                <w:lang w:val="lv-LV"/>
              </w:rPr>
              <w:t xml:space="preserve">12 mēnešiem no faktiskās piegādes dienas. </w:t>
            </w:r>
          </w:p>
        </w:tc>
      </w:tr>
      <w:tr w:rsidR="00A07957" w:rsidRPr="00A07957" w14:paraId="4E6CA42B" w14:textId="77777777" w:rsidTr="00131086">
        <w:trPr>
          <w:trHeight w:val="539"/>
        </w:trPr>
        <w:tc>
          <w:tcPr>
            <w:tcW w:w="709" w:type="dxa"/>
            <w:shd w:val="clear" w:color="auto" w:fill="auto"/>
          </w:tcPr>
          <w:p w14:paraId="3CDB1FBF" w14:textId="77777777" w:rsidR="00A07957" w:rsidRPr="00B73371" w:rsidRDefault="00A07957" w:rsidP="00131086">
            <w:pPr>
              <w:contextualSpacing/>
              <w:jc w:val="center"/>
              <w:rPr>
                <w:rFonts w:ascii="Arial" w:eastAsia="Calibri" w:hAnsi="Arial" w:cs="Arial"/>
                <w:sz w:val="22"/>
                <w:szCs w:val="22"/>
                <w:lang w:val="lv-LV"/>
              </w:rPr>
            </w:pPr>
            <w:r>
              <w:rPr>
                <w:rFonts w:ascii="Arial" w:eastAsia="Calibri" w:hAnsi="Arial" w:cs="Arial"/>
                <w:sz w:val="22"/>
                <w:szCs w:val="22"/>
                <w:lang w:val="lv-LV"/>
              </w:rPr>
              <w:t>2.</w:t>
            </w:r>
          </w:p>
        </w:tc>
        <w:tc>
          <w:tcPr>
            <w:tcW w:w="5104" w:type="dxa"/>
            <w:shd w:val="clear" w:color="auto" w:fill="auto"/>
          </w:tcPr>
          <w:p w14:paraId="3D5DB7A8" w14:textId="77777777" w:rsidR="00A07957" w:rsidRPr="00F20579" w:rsidRDefault="00A07957" w:rsidP="00131086">
            <w:pPr>
              <w:autoSpaceDE w:val="0"/>
              <w:autoSpaceDN w:val="0"/>
              <w:adjustRightInd w:val="0"/>
              <w:contextualSpacing/>
              <w:jc w:val="both"/>
              <w:rPr>
                <w:rFonts w:ascii="Arial" w:hAnsi="Arial" w:cs="Arial"/>
                <w:color w:val="000000"/>
                <w:sz w:val="22"/>
                <w:szCs w:val="22"/>
                <w:lang w:val="ru-RU"/>
              </w:rPr>
            </w:pPr>
            <w:r w:rsidRPr="00F20579">
              <w:rPr>
                <w:rFonts w:ascii="Arial" w:hAnsi="Arial" w:cs="Arial"/>
                <w:color w:val="000000"/>
                <w:sz w:val="22"/>
                <w:szCs w:val="22"/>
                <w:lang w:val="ru-RU"/>
              </w:rPr>
              <w:t>Исходя из п. 8.3, не понятно, в случае отказа подписывать договор, будут ли</w:t>
            </w:r>
            <w:r>
              <w:rPr>
                <w:rFonts w:ascii="Arial" w:hAnsi="Arial" w:cs="Arial"/>
                <w:color w:val="000000"/>
                <w:sz w:val="22"/>
                <w:szCs w:val="22"/>
                <w:lang w:val="lv-LV"/>
              </w:rPr>
              <w:t xml:space="preserve"> </w:t>
            </w:r>
            <w:proofErr w:type="gramStart"/>
            <w:r w:rsidRPr="00F20579">
              <w:rPr>
                <w:rFonts w:ascii="Arial" w:hAnsi="Arial" w:cs="Arial"/>
                <w:color w:val="000000"/>
                <w:sz w:val="22"/>
                <w:szCs w:val="22"/>
                <w:lang w:val="ru-RU"/>
              </w:rPr>
              <w:t>участнику</w:t>
            </w:r>
            <w:proofErr w:type="gramEnd"/>
            <w:r w:rsidRPr="00F20579">
              <w:rPr>
                <w:rFonts w:ascii="Arial" w:hAnsi="Arial" w:cs="Arial"/>
                <w:color w:val="000000"/>
                <w:sz w:val="22"/>
                <w:szCs w:val="22"/>
                <w:lang w:val="ru-RU"/>
              </w:rPr>
              <w:t xml:space="preserve"> победившему в тендере применены какие-либо штрафные санкции? И будет ли возвращено гарантийное обеспечение в 1%?</w:t>
            </w:r>
          </w:p>
          <w:p w14:paraId="4F5B76A1" w14:textId="77777777" w:rsidR="00A07957" w:rsidRDefault="00A07957" w:rsidP="00131086">
            <w:pPr>
              <w:autoSpaceDE w:val="0"/>
              <w:autoSpaceDN w:val="0"/>
              <w:adjustRightInd w:val="0"/>
              <w:contextualSpacing/>
              <w:jc w:val="both"/>
              <w:rPr>
                <w:rFonts w:ascii="Arial" w:hAnsi="Arial" w:cs="Arial"/>
                <w:i/>
                <w:iCs/>
                <w:color w:val="000000"/>
                <w:sz w:val="22"/>
                <w:szCs w:val="22"/>
                <w:lang w:val="lv-LV"/>
              </w:rPr>
            </w:pPr>
            <w:r>
              <w:rPr>
                <w:rFonts w:ascii="Arial" w:hAnsi="Arial" w:cs="Arial"/>
                <w:i/>
                <w:iCs/>
                <w:color w:val="000000"/>
                <w:sz w:val="22"/>
                <w:szCs w:val="22"/>
                <w:lang w:val="lv-LV"/>
              </w:rPr>
              <w:t>“</w:t>
            </w:r>
            <w:r w:rsidRPr="00F20579">
              <w:rPr>
                <w:rFonts w:ascii="Arial" w:hAnsi="Arial" w:cs="Arial"/>
                <w:i/>
                <w:iCs/>
                <w:color w:val="000000"/>
                <w:sz w:val="22"/>
                <w:szCs w:val="22"/>
                <w:lang w:val="ru-RU"/>
              </w:rPr>
              <w:t>8.3. Если выбранный участник тендера отказывается заключить договор о закупке в течение 10 (десяти) дней с момента получения уведомления от заказчика, комиссия принимает решение о заключении договора со следующим участником тендера, представившим тендер, соответствующий критериям отбора, изложенным в пункте 5.1 Регламента, и требованиям Регламента, или о прекращении закупки без выбора какого-либо участника, для чего составляется протокол. Если принято решение о заключении договора со следующим участником тендера, представившим тендер, соответствующий критериям отбора, изложенным в пункте 5.1 Регламента, и требованиям Регламента, но он отказывается заключить договор, комиссия принимает решение о прекращении закупки без выбора какого-либо участника, для чего составляется протокол. Окончательное решение в этом случае также принимается в соответствии с пунктом 7.5 Регламента.</w:t>
            </w:r>
            <w:r>
              <w:rPr>
                <w:rFonts w:ascii="Arial" w:hAnsi="Arial" w:cs="Arial"/>
                <w:i/>
                <w:iCs/>
                <w:color w:val="000000"/>
                <w:sz w:val="22"/>
                <w:szCs w:val="22"/>
                <w:lang w:val="lv-LV"/>
              </w:rPr>
              <w:t>”.</w:t>
            </w:r>
          </w:p>
          <w:p w14:paraId="02E2ED16" w14:textId="77777777" w:rsidR="00A07957" w:rsidRDefault="00A07957" w:rsidP="00131086">
            <w:pPr>
              <w:autoSpaceDE w:val="0"/>
              <w:autoSpaceDN w:val="0"/>
              <w:adjustRightInd w:val="0"/>
              <w:contextualSpacing/>
              <w:jc w:val="both"/>
              <w:rPr>
                <w:rFonts w:ascii="Arial" w:hAnsi="Arial" w:cs="Arial"/>
                <w:color w:val="000000"/>
                <w:sz w:val="22"/>
                <w:szCs w:val="22"/>
                <w:lang w:val="lv-LV"/>
              </w:rPr>
            </w:pPr>
          </w:p>
          <w:p w14:paraId="56AE1C5D" w14:textId="77777777" w:rsidR="00A07957" w:rsidRPr="00D25F97" w:rsidRDefault="00A07957" w:rsidP="00131086">
            <w:pPr>
              <w:autoSpaceDE w:val="0"/>
              <w:autoSpaceDN w:val="0"/>
              <w:adjustRightInd w:val="0"/>
              <w:contextualSpacing/>
              <w:jc w:val="both"/>
              <w:rPr>
                <w:rFonts w:ascii="Arial" w:hAnsi="Arial" w:cs="Arial"/>
                <w:i/>
                <w:iCs/>
                <w:color w:val="000000"/>
                <w:sz w:val="22"/>
                <w:szCs w:val="22"/>
                <w:u w:val="single"/>
                <w:lang w:val="lv-LV"/>
              </w:rPr>
            </w:pPr>
            <w:r w:rsidRPr="00D25F97">
              <w:rPr>
                <w:rFonts w:ascii="Arial" w:hAnsi="Arial" w:cs="Arial"/>
                <w:i/>
                <w:iCs/>
                <w:sz w:val="22"/>
                <w:szCs w:val="22"/>
                <w:u w:val="single"/>
                <w:vertAlign w:val="superscript"/>
                <w:lang w:val="lv-LV"/>
              </w:rPr>
              <w:t>*</w:t>
            </w:r>
            <w:r w:rsidRPr="00D25F97">
              <w:rPr>
                <w:rFonts w:ascii="Arial" w:hAnsi="Arial" w:cs="Arial"/>
                <w:i/>
                <w:iCs/>
                <w:sz w:val="22"/>
                <w:szCs w:val="22"/>
                <w:u w:val="single"/>
                <w:lang w:val="lv-LV"/>
              </w:rPr>
              <w:t>Tulkojums:</w:t>
            </w:r>
          </w:p>
          <w:p w14:paraId="7082FE8A" w14:textId="77777777" w:rsidR="00A07957" w:rsidRDefault="00A07957" w:rsidP="00131086">
            <w:pPr>
              <w:autoSpaceDE w:val="0"/>
              <w:autoSpaceDN w:val="0"/>
              <w:adjustRightInd w:val="0"/>
              <w:contextualSpacing/>
              <w:jc w:val="both"/>
              <w:rPr>
                <w:rFonts w:ascii="Arial" w:hAnsi="Arial" w:cs="Arial"/>
                <w:i/>
                <w:iCs/>
                <w:sz w:val="22"/>
                <w:szCs w:val="22"/>
                <w:lang w:val="lv-LV"/>
              </w:rPr>
            </w:pPr>
            <w:r w:rsidRPr="00963B1B">
              <w:rPr>
                <w:rFonts w:ascii="Arial" w:hAnsi="Arial" w:cs="Arial"/>
                <w:i/>
                <w:iCs/>
                <w:sz w:val="22"/>
                <w:szCs w:val="22"/>
                <w:lang w:val="lv-LV"/>
              </w:rPr>
              <w:t>Pamatojoties uz 8.3. punktu, nav skaidrs, vai uzvarētājam tiks piemērotas kādas sankcijas līguma parakstīšanai. Vai 1% drošības nauda tiks atmaksāta?</w:t>
            </w:r>
          </w:p>
          <w:p w14:paraId="6C6BF468" w14:textId="77777777" w:rsidR="00A07957" w:rsidRPr="001910E8" w:rsidRDefault="00A07957" w:rsidP="00131086">
            <w:pPr>
              <w:autoSpaceDE w:val="0"/>
              <w:autoSpaceDN w:val="0"/>
              <w:adjustRightInd w:val="0"/>
              <w:contextualSpacing/>
              <w:jc w:val="both"/>
              <w:rPr>
                <w:rFonts w:ascii="Arial" w:hAnsi="Arial" w:cs="Arial"/>
                <w:i/>
                <w:iCs/>
                <w:sz w:val="22"/>
                <w:szCs w:val="22"/>
                <w:lang w:val="lv-LV"/>
              </w:rPr>
            </w:pPr>
            <w:r>
              <w:rPr>
                <w:rFonts w:ascii="Arial" w:hAnsi="Arial" w:cs="Arial"/>
                <w:i/>
                <w:iCs/>
                <w:sz w:val="22"/>
                <w:szCs w:val="22"/>
                <w:lang w:val="lv-LV"/>
              </w:rPr>
              <w:t>“</w:t>
            </w:r>
            <w:r w:rsidRPr="008501CA">
              <w:rPr>
                <w:rFonts w:ascii="Arial" w:hAnsi="Arial" w:cs="Arial"/>
                <w:i/>
                <w:iCs/>
                <w:sz w:val="22"/>
                <w:szCs w:val="22"/>
                <w:lang w:val="lv-LV"/>
              </w:rPr>
              <w:t xml:space="preserve">8.3. Ja izraudzītais pretendents atsakās slēgt iepirkuma līgumu 10 (desmit) dienu laikā no līguma slēdzēja paziņojuma saņemšanas, komisija pieņem lēmumu slēgt līgumu ar nākamo pretendentu, kas iesniedzis nolikuma 5.1.punktā </w:t>
            </w:r>
            <w:r w:rsidRPr="008501CA">
              <w:rPr>
                <w:rFonts w:ascii="Arial" w:hAnsi="Arial" w:cs="Arial"/>
                <w:i/>
                <w:iCs/>
                <w:sz w:val="22"/>
                <w:szCs w:val="22"/>
                <w:lang w:val="lv-LV"/>
              </w:rPr>
              <w:lastRenderedPageBreak/>
              <w:t>noteiktajam piedāvājumu izvēles kritērijam un nolikuma prasībām atbilstošu piedāvājumu, vai pārtraukt iepirkumu, neizvēloties nevienu piedāvājumu, par ko tiek noformēts protokols. Ja pieņemts lēmums slēgt līgumu ar nākamo pretendentu, kas iesniedzis nolikuma 5.1.punktā noteiktajam piedāvājumu izvēles kritērijam un nolikuma prasībām atbilstošu piedāvājumu, bet tas atsakās slēgt līgumu, komisija pieņem lēmumu pārtraukt iepirkumu, neizvēloties nevienu piedāvājumu, par ko tiek noformēts protokols. Galīgo lēmumu arī šajā gadījumā pieņem saskaņā ar nolikuma 7.5.punktu.</w:t>
            </w:r>
            <w:r>
              <w:rPr>
                <w:rFonts w:ascii="Arial" w:hAnsi="Arial" w:cs="Arial"/>
                <w:i/>
                <w:iCs/>
                <w:sz w:val="22"/>
                <w:szCs w:val="22"/>
                <w:lang w:val="lv-LV"/>
              </w:rPr>
              <w:t>”.</w:t>
            </w:r>
          </w:p>
        </w:tc>
        <w:tc>
          <w:tcPr>
            <w:tcW w:w="4170" w:type="dxa"/>
            <w:shd w:val="clear" w:color="auto" w:fill="auto"/>
          </w:tcPr>
          <w:p w14:paraId="048C38CA" w14:textId="77777777" w:rsidR="00A07957" w:rsidRPr="00C23401" w:rsidRDefault="00A07957" w:rsidP="00131086">
            <w:pPr>
              <w:ind w:right="37"/>
              <w:contextualSpacing/>
              <w:jc w:val="both"/>
              <w:rPr>
                <w:rFonts w:ascii="Arial" w:hAnsi="Arial" w:cs="Arial"/>
                <w:sz w:val="22"/>
                <w:szCs w:val="22"/>
                <w:lang w:val="lv-LV"/>
              </w:rPr>
            </w:pPr>
            <w:r w:rsidRPr="00C23401">
              <w:rPr>
                <w:rFonts w:ascii="Arial" w:hAnsi="Arial" w:cs="Arial"/>
                <w:sz w:val="22"/>
                <w:szCs w:val="22"/>
                <w:lang w:val="lv-LV"/>
              </w:rPr>
              <w:lastRenderedPageBreak/>
              <w:t>Skaidrojam, ka saskaņā ar iepirkuma nolikuma 1.6.3.3.punktu, ja pretendents, kura piedāvājums izraudzīts saskaņā ar</w:t>
            </w:r>
            <w:r>
              <w:rPr>
                <w:rFonts w:ascii="Arial" w:hAnsi="Arial" w:cs="Arial"/>
                <w:sz w:val="22"/>
                <w:szCs w:val="22"/>
                <w:lang w:val="lv-LV"/>
              </w:rPr>
              <w:t xml:space="preserve"> iepirkuma nolikumā noteikto</w:t>
            </w:r>
            <w:r w:rsidRPr="00C23401">
              <w:rPr>
                <w:rFonts w:ascii="Arial" w:hAnsi="Arial" w:cs="Arial"/>
                <w:sz w:val="22"/>
                <w:szCs w:val="22"/>
                <w:lang w:val="lv-LV"/>
              </w:rPr>
              <w:t xml:space="preserve"> piedāvājumu izvēles kritēriju, neparaksta iepirkuma līgumu līguma slēdzēja </w:t>
            </w:r>
            <w:r w:rsidRPr="007B24C7">
              <w:rPr>
                <w:rFonts w:ascii="Arial" w:hAnsi="Arial" w:cs="Arial"/>
                <w:sz w:val="22"/>
                <w:szCs w:val="22"/>
                <w:lang w:val="lv-LV"/>
              </w:rPr>
              <w:t xml:space="preserve">(SIA “LDZ CARGO”) </w:t>
            </w:r>
            <w:r w:rsidRPr="00C23401">
              <w:rPr>
                <w:rFonts w:ascii="Arial" w:hAnsi="Arial" w:cs="Arial"/>
                <w:sz w:val="22"/>
                <w:szCs w:val="22"/>
                <w:lang w:val="lv-LV"/>
              </w:rPr>
              <w:t>noteiktajā termiņā, tad līguma slēdzēj</w:t>
            </w:r>
            <w:r>
              <w:rPr>
                <w:rFonts w:ascii="Arial" w:hAnsi="Arial" w:cs="Arial"/>
                <w:sz w:val="22"/>
                <w:szCs w:val="22"/>
                <w:lang w:val="lv-LV"/>
              </w:rPr>
              <w:t xml:space="preserve">s </w:t>
            </w:r>
            <w:r w:rsidRPr="00C23401">
              <w:rPr>
                <w:rFonts w:ascii="Arial" w:hAnsi="Arial" w:cs="Arial"/>
                <w:sz w:val="22"/>
                <w:szCs w:val="22"/>
                <w:lang w:val="lv-LV"/>
              </w:rPr>
              <w:t>ir tiesīgs ieturēt pretendenta iesniegto (iemaksāto) piedāvājuma nodrošinājuma summu, kas ir 1% no pretendenta piedāvājuma kopējās summas.</w:t>
            </w:r>
          </w:p>
          <w:p w14:paraId="126B4C5E" w14:textId="77777777" w:rsidR="00A07957" w:rsidRPr="00B73371" w:rsidRDefault="00A07957" w:rsidP="00131086">
            <w:pPr>
              <w:ind w:right="37"/>
              <w:contextualSpacing/>
              <w:jc w:val="both"/>
              <w:rPr>
                <w:rFonts w:ascii="Arial" w:hAnsi="Arial" w:cs="Arial"/>
                <w:sz w:val="22"/>
                <w:szCs w:val="22"/>
                <w:lang w:val="lv-LV"/>
              </w:rPr>
            </w:pPr>
          </w:p>
          <w:p w14:paraId="395D615B" w14:textId="77777777" w:rsidR="00A07957" w:rsidRPr="0050707E" w:rsidRDefault="00A07957" w:rsidP="00131086">
            <w:pPr>
              <w:ind w:right="37"/>
              <w:contextualSpacing/>
              <w:jc w:val="both"/>
              <w:rPr>
                <w:rFonts w:ascii="Arial" w:hAnsi="Arial" w:cs="Arial"/>
                <w:sz w:val="22"/>
                <w:szCs w:val="22"/>
                <w:highlight w:val="yellow"/>
                <w:lang w:val="lv-LV"/>
              </w:rPr>
            </w:pPr>
          </w:p>
        </w:tc>
      </w:tr>
    </w:tbl>
    <w:p w14:paraId="38E2E3BB" w14:textId="77777777" w:rsidR="00A07957" w:rsidRPr="003F2D42" w:rsidRDefault="00A07957" w:rsidP="00A07957">
      <w:pPr>
        <w:ind w:left="-851" w:right="45"/>
        <w:jc w:val="both"/>
        <w:rPr>
          <w:rFonts w:ascii="Arial" w:hAnsi="Arial" w:cs="Arial"/>
          <w:sz w:val="18"/>
          <w:szCs w:val="18"/>
          <w:lang w:val="lv-LV"/>
        </w:rPr>
      </w:pPr>
      <w:r w:rsidRPr="003F2D42">
        <w:rPr>
          <w:rFonts w:ascii="Arial" w:hAnsi="Arial" w:cs="Arial"/>
          <w:i/>
          <w:iCs/>
          <w:sz w:val="18"/>
          <w:szCs w:val="18"/>
          <w:vertAlign w:val="superscript"/>
          <w:lang w:val="lv-LV"/>
        </w:rPr>
        <w:t>*</w:t>
      </w:r>
      <w:r w:rsidRPr="003F2D42">
        <w:rPr>
          <w:rFonts w:ascii="Arial" w:eastAsia="Calibri" w:hAnsi="Arial" w:cs="Arial"/>
          <w:i/>
          <w:iCs/>
          <w:sz w:val="18"/>
          <w:szCs w:val="18"/>
          <w:lang w:val="lv-LV"/>
        </w:rPr>
        <w:t>N</w:t>
      </w:r>
      <w:r w:rsidRPr="003F2D42">
        <w:rPr>
          <w:rFonts w:ascii="Arial" w:hAnsi="Arial" w:cs="Arial"/>
          <w:i/>
          <w:iCs/>
          <w:sz w:val="18"/>
          <w:szCs w:val="18"/>
          <w:lang w:val="lv-LV"/>
        </w:rPr>
        <w:t xml:space="preserve">orādām, ka ieinteresētais piegādātājs iesniedza jautājumu par sarunu procedūras nolikuma prasībām krievu valodā un bez attiecīga tulkojuma latviešu valodā, neievērojot </w:t>
      </w:r>
      <w:r w:rsidRPr="003F2D42">
        <w:rPr>
          <w:rFonts w:ascii="Arial" w:hAnsi="Arial" w:cs="Arial"/>
          <w:i/>
          <w:iCs/>
          <w:color w:val="333333"/>
          <w:sz w:val="18"/>
          <w:szCs w:val="18"/>
          <w:lang w:val="lv-LV"/>
        </w:rPr>
        <w:t xml:space="preserve">sarunu procedūras nolikuma 1.7.4.punkta nosacījumus. Jautājuma </w:t>
      </w:r>
      <w:r w:rsidRPr="003F2D42">
        <w:rPr>
          <w:rFonts w:ascii="Arial" w:hAnsi="Arial" w:cs="Arial"/>
          <w:i/>
          <w:iCs/>
          <w:sz w:val="18"/>
          <w:szCs w:val="18"/>
          <w:lang w:val="lv-LV"/>
        </w:rPr>
        <w:t xml:space="preserve">iesniegšana svešvalodā un bez tulkojuma kopumā var ietekmēt izpratni par ieinteresētā piegādātāja sniegtās informācijas saturu, līdz ar to - arī izsmeļošas un kvalitatīvas atbildes sagatavošanu. Vēršam uzmanību, ka pasūtītājam nav pienākums sniegt atbildes neatbilstoši iesniegtiem informācijas pieprasījumiem. Attiecīgi, šajā gadījumā, atbilde tiek sniegta, taču </w:t>
      </w:r>
      <w:r w:rsidRPr="003F2D42">
        <w:rPr>
          <w:rFonts w:ascii="Arial" w:hAnsi="Arial" w:cs="Arial"/>
          <w:b/>
          <w:bCs/>
          <w:i/>
          <w:iCs/>
          <w:sz w:val="18"/>
          <w:szCs w:val="18"/>
          <w:u w:val="single"/>
          <w:lang w:val="lv-LV"/>
        </w:rPr>
        <w:t>pasūtītājs neatbild par saņemtā jautājuma tulkojuma pareizību</w:t>
      </w:r>
      <w:r w:rsidRPr="003F2D42">
        <w:rPr>
          <w:rFonts w:ascii="Arial" w:hAnsi="Arial" w:cs="Arial"/>
          <w:b/>
          <w:bCs/>
          <w:sz w:val="18"/>
          <w:szCs w:val="18"/>
          <w:u w:val="single"/>
          <w:lang w:val="lv-LV"/>
        </w:rPr>
        <w:t>.</w:t>
      </w:r>
    </w:p>
    <w:p w14:paraId="73475C2A" w14:textId="77777777" w:rsidR="00A07957" w:rsidRDefault="00A07957" w:rsidP="00A07957">
      <w:pPr>
        <w:jc w:val="both"/>
        <w:rPr>
          <w:b/>
          <w:sz w:val="24"/>
          <w:szCs w:val="24"/>
          <w:u w:val="single"/>
          <w:lang w:val="lv-LV"/>
        </w:rPr>
      </w:pPr>
    </w:p>
    <w:p w14:paraId="541ECB80" w14:textId="77777777" w:rsidR="003F7CC6" w:rsidRPr="00A07957" w:rsidRDefault="003F7CC6" w:rsidP="00097441">
      <w:pPr>
        <w:rPr>
          <w:rStyle w:val="Izsmalcintsizclums"/>
          <w:i w:val="0"/>
          <w:iCs w:val="0"/>
          <w:lang w:val="lv-LV"/>
        </w:rPr>
      </w:pPr>
    </w:p>
    <w:sectPr w:rsidR="003F7CC6" w:rsidRPr="00A07957" w:rsidSect="00A07957">
      <w:footerReference w:type="default" r:id="rId6"/>
      <w:pgSz w:w="11906" w:h="16838"/>
      <w:pgMar w:top="851" w:right="992" w:bottom="113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50CAF" w14:textId="77777777" w:rsidR="002F0510" w:rsidRDefault="002F0510">
      <w:r>
        <w:separator/>
      </w:r>
    </w:p>
  </w:endnote>
  <w:endnote w:type="continuationSeparator" w:id="0">
    <w:p w14:paraId="7A3486DE" w14:textId="77777777" w:rsidR="002F0510" w:rsidRDefault="002F0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811429"/>
      <w:docPartObj>
        <w:docPartGallery w:val="Page Numbers (Bottom of Page)"/>
        <w:docPartUnique/>
      </w:docPartObj>
    </w:sdtPr>
    <w:sdtEndPr>
      <w:rPr>
        <w:noProof/>
      </w:rPr>
    </w:sdtEndPr>
    <w:sdtContent>
      <w:p w14:paraId="13A7B24B" w14:textId="77777777" w:rsidR="00A07957" w:rsidRDefault="00A07957">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236FA49D" w14:textId="77777777" w:rsidR="00A07957" w:rsidRDefault="00A0795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7FB70" w14:textId="77777777" w:rsidR="002F0510" w:rsidRDefault="002F0510">
      <w:r>
        <w:separator/>
      </w:r>
    </w:p>
  </w:footnote>
  <w:footnote w:type="continuationSeparator" w:id="0">
    <w:p w14:paraId="3E17965B" w14:textId="77777777" w:rsidR="002F0510" w:rsidRDefault="002F05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957"/>
    <w:rsid w:val="00057A83"/>
    <w:rsid w:val="000959D0"/>
    <w:rsid w:val="00097441"/>
    <w:rsid w:val="002F0510"/>
    <w:rsid w:val="003F7CC6"/>
    <w:rsid w:val="00480F25"/>
    <w:rsid w:val="006052A8"/>
    <w:rsid w:val="00634F44"/>
    <w:rsid w:val="006C508D"/>
    <w:rsid w:val="00770F1C"/>
    <w:rsid w:val="008069C6"/>
    <w:rsid w:val="00A07957"/>
    <w:rsid w:val="00C2627C"/>
    <w:rsid w:val="00D4253B"/>
    <w:rsid w:val="00EA1AA8"/>
    <w:rsid w:val="00EA4C9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323A6"/>
  <w15:chartTrackingRefBased/>
  <w15:docId w15:val="{A37EE8AD-2B78-4E4F-95A4-1D919394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7957"/>
    <w:pPr>
      <w:spacing w:after="0" w:line="240" w:lineRule="auto"/>
    </w:pPr>
    <w:rPr>
      <w:rFonts w:ascii="Times New Roman" w:eastAsia="Times New Roman" w:hAnsi="Times New Roman" w:cs="Times New Roman"/>
      <w:kern w:val="0"/>
      <w:sz w:val="20"/>
      <w:szCs w:val="20"/>
      <w:lang w:val="en-US" w:eastAsia="lv-LV"/>
      <w14:ligatures w14:val="none"/>
    </w:rPr>
  </w:style>
  <w:style w:type="paragraph" w:styleId="Virsraksts1">
    <w:name w:val="heading 1"/>
    <w:basedOn w:val="Parasts"/>
    <w:next w:val="Parasts"/>
    <w:link w:val="Virsraksts1Rakstz"/>
    <w:uiPriority w:val="9"/>
    <w:qFormat/>
    <w:rsid w:val="00097441"/>
    <w:pPr>
      <w:keepNext/>
      <w:keepLines/>
      <w:spacing w:before="360" w:after="80" w:line="278" w:lineRule="auto"/>
      <w:outlineLvl w:val="0"/>
    </w:pPr>
    <w:rPr>
      <w:rFonts w:asciiTheme="majorHAnsi" w:eastAsiaTheme="majorEastAsia" w:hAnsiTheme="majorHAnsi" w:cstheme="majorBidi"/>
      <w:color w:val="D2002D" w:themeColor="accent2"/>
      <w:kern w:val="2"/>
      <w:sz w:val="40"/>
      <w:szCs w:val="40"/>
      <w:lang w:val="lv-LV" w:eastAsia="en-US"/>
      <w14:ligatures w14:val="standardContextual"/>
    </w:rPr>
  </w:style>
  <w:style w:type="paragraph" w:styleId="Virsraksts2">
    <w:name w:val="heading 2"/>
    <w:basedOn w:val="Parasts"/>
    <w:next w:val="Parasts"/>
    <w:link w:val="Virsraksts2Rakstz"/>
    <w:uiPriority w:val="9"/>
    <w:semiHidden/>
    <w:unhideWhenUsed/>
    <w:qFormat/>
    <w:rsid w:val="00097441"/>
    <w:pPr>
      <w:keepNext/>
      <w:keepLines/>
      <w:spacing w:before="160" w:after="80" w:line="278" w:lineRule="auto"/>
      <w:outlineLvl w:val="1"/>
    </w:pPr>
    <w:rPr>
      <w:rFonts w:asciiTheme="majorHAnsi" w:eastAsiaTheme="majorEastAsia" w:hAnsiTheme="majorHAnsi" w:cstheme="majorBidi"/>
      <w:color w:val="2F3239" w:themeColor="text1"/>
      <w:kern w:val="2"/>
      <w:sz w:val="32"/>
      <w:szCs w:val="32"/>
      <w:lang w:val="lv-LV" w:eastAsia="en-US"/>
      <w14:ligatures w14:val="standardContextual"/>
    </w:rPr>
  </w:style>
  <w:style w:type="paragraph" w:styleId="Virsraksts3">
    <w:name w:val="heading 3"/>
    <w:basedOn w:val="Parasts"/>
    <w:next w:val="Parasts"/>
    <w:link w:val="Virsraksts3Rakstz"/>
    <w:uiPriority w:val="9"/>
    <w:semiHidden/>
    <w:unhideWhenUsed/>
    <w:qFormat/>
    <w:rsid w:val="00097441"/>
    <w:pPr>
      <w:keepNext/>
      <w:keepLines/>
      <w:spacing w:before="160" w:after="80" w:line="278" w:lineRule="auto"/>
      <w:outlineLvl w:val="2"/>
    </w:pPr>
    <w:rPr>
      <w:rFonts w:asciiTheme="minorHAnsi" w:eastAsiaTheme="majorEastAsia" w:hAnsiTheme="minorHAnsi" w:cstheme="majorBidi"/>
      <w:color w:val="B9B29E" w:themeColor="accent1" w:themeShade="BF"/>
      <w:kern w:val="2"/>
      <w:sz w:val="28"/>
      <w:szCs w:val="28"/>
      <w:lang w:val="lv-LV" w:eastAsia="en-US"/>
      <w14:ligatures w14:val="standardContextual"/>
    </w:rPr>
  </w:style>
  <w:style w:type="paragraph" w:styleId="Virsraksts4">
    <w:name w:val="heading 4"/>
    <w:basedOn w:val="Parasts"/>
    <w:next w:val="Parasts"/>
    <w:link w:val="Virsraksts4Rakstz"/>
    <w:uiPriority w:val="9"/>
    <w:semiHidden/>
    <w:unhideWhenUsed/>
    <w:qFormat/>
    <w:rsid w:val="00097441"/>
    <w:pPr>
      <w:keepNext/>
      <w:keepLines/>
      <w:spacing w:before="80" w:after="40" w:line="278" w:lineRule="auto"/>
      <w:outlineLvl w:val="3"/>
    </w:pPr>
    <w:rPr>
      <w:rFonts w:asciiTheme="minorHAnsi" w:eastAsiaTheme="majorEastAsia" w:hAnsiTheme="minorHAnsi" w:cstheme="majorBidi"/>
      <w:i/>
      <w:iCs/>
      <w:color w:val="B9B29E" w:themeColor="accent1" w:themeShade="BF"/>
      <w:kern w:val="2"/>
      <w:sz w:val="24"/>
      <w:szCs w:val="24"/>
      <w:lang w:val="lv-LV" w:eastAsia="en-US"/>
      <w14:ligatures w14:val="standardContextual"/>
    </w:rPr>
  </w:style>
  <w:style w:type="paragraph" w:styleId="Virsraksts5">
    <w:name w:val="heading 5"/>
    <w:basedOn w:val="Parasts"/>
    <w:next w:val="Parasts"/>
    <w:link w:val="Virsraksts5Rakstz"/>
    <w:uiPriority w:val="9"/>
    <w:semiHidden/>
    <w:unhideWhenUsed/>
    <w:qFormat/>
    <w:rsid w:val="00097441"/>
    <w:pPr>
      <w:keepNext/>
      <w:keepLines/>
      <w:spacing w:before="80" w:after="40" w:line="278" w:lineRule="auto"/>
      <w:outlineLvl w:val="4"/>
    </w:pPr>
    <w:rPr>
      <w:rFonts w:asciiTheme="minorHAnsi" w:eastAsiaTheme="majorEastAsia" w:hAnsiTheme="minorHAnsi" w:cstheme="majorBidi"/>
      <w:color w:val="B9B29E" w:themeColor="accent1" w:themeShade="BF"/>
      <w:kern w:val="2"/>
      <w:sz w:val="24"/>
      <w:szCs w:val="24"/>
      <w:lang w:val="lv-LV" w:eastAsia="en-US"/>
      <w14:ligatures w14:val="standardContextual"/>
    </w:rPr>
  </w:style>
  <w:style w:type="paragraph" w:styleId="Virsraksts6">
    <w:name w:val="heading 6"/>
    <w:basedOn w:val="Parasts"/>
    <w:next w:val="Parasts"/>
    <w:link w:val="Virsraksts6Rakstz"/>
    <w:uiPriority w:val="9"/>
    <w:semiHidden/>
    <w:unhideWhenUsed/>
    <w:qFormat/>
    <w:rsid w:val="00097441"/>
    <w:pPr>
      <w:keepNext/>
      <w:keepLines/>
      <w:spacing w:before="40" w:line="278" w:lineRule="auto"/>
      <w:outlineLvl w:val="5"/>
    </w:pPr>
    <w:rPr>
      <w:rFonts w:asciiTheme="minorHAnsi" w:eastAsiaTheme="majorEastAsia" w:hAnsiTheme="minorHAnsi" w:cstheme="majorBidi"/>
      <w:i/>
      <w:iCs/>
      <w:color w:val="6F7686" w:themeColor="text1" w:themeTint="A6"/>
      <w:kern w:val="2"/>
      <w:sz w:val="24"/>
      <w:szCs w:val="24"/>
      <w:lang w:val="lv-LV" w:eastAsia="en-US"/>
      <w14:ligatures w14:val="standardContextual"/>
    </w:rPr>
  </w:style>
  <w:style w:type="paragraph" w:styleId="Virsraksts7">
    <w:name w:val="heading 7"/>
    <w:basedOn w:val="Parasts"/>
    <w:next w:val="Parasts"/>
    <w:link w:val="Virsraksts7Rakstz"/>
    <w:uiPriority w:val="9"/>
    <w:semiHidden/>
    <w:unhideWhenUsed/>
    <w:qFormat/>
    <w:rsid w:val="00097441"/>
    <w:pPr>
      <w:keepNext/>
      <w:keepLines/>
      <w:spacing w:before="40" w:line="278" w:lineRule="auto"/>
      <w:outlineLvl w:val="6"/>
    </w:pPr>
    <w:rPr>
      <w:rFonts w:asciiTheme="minorHAnsi" w:eastAsiaTheme="majorEastAsia" w:hAnsiTheme="minorHAnsi" w:cstheme="majorBidi"/>
      <w:color w:val="6F7686" w:themeColor="text1" w:themeTint="A6"/>
      <w:kern w:val="2"/>
      <w:sz w:val="24"/>
      <w:szCs w:val="24"/>
      <w:lang w:val="lv-LV" w:eastAsia="en-US"/>
      <w14:ligatures w14:val="standardContextual"/>
    </w:rPr>
  </w:style>
  <w:style w:type="paragraph" w:styleId="Virsraksts8">
    <w:name w:val="heading 8"/>
    <w:basedOn w:val="Parasts"/>
    <w:next w:val="Parasts"/>
    <w:link w:val="Virsraksts8Rakstz"/>
    <w:uiPriority w:val="9"/>
    <w:semiHidden/>
    <w:unhideWhenUsed/>
    <w:qFormat/>
    <w:rsid w:val="00097441"/>
    <w:pPr>
      <w:keepNext/>
      <w:keepLines/>
      <w:spacing w:line="278" w:lineRule="auto"/>
      <w:outlineLvl w:val="7"/>
    </w:pPr>
    <w:rPr>
      <w:rFonts w:asciiTheme="minorHAnsi" w:eastAsiaTheme="majorEastAsia" w:hAnsiTheme="minorHAnsi" w:cstheme="majorBidi"/>
      <w:i/>
      <w:iCs/>
      <w:color w:val="4B4F5A" w:themeColor="text1" w:themeTint="D8"/>
      <w:kern w:val="2"/>
      <w:sz w:val="24"/>
      <w:szCs w:val="24"/>
      <w:lang w:val="lv-LV" w:eastAsia="en-US"/>
      <w14:ligatures w14:val="standardContextual"/>
    </w:rPr>
  </w:style>
  <w:style w:type="paragraph" w:styleId="Virsraksts9">
    <w:name w:val="heading 9"/>
    <w:basedOn w:val="Parasts"/>
    <w:next w:val="Parasts"/>
    <w:link w:val="Virsraksts9Rakstz"/>
    <w:uiPriority w:val="9"/>
    <w:semiHidden/>
    <w:unhideWhenUsed/>
    <w:qFormat/>
    <w:rsid w:val="00097441"/>
    <w:pPr>
      <w:keepNext/>
      <w:keepLines/>
      <w:spacing w:line="278" w:lineRule="auto"/>
      <w:outlineLvl w:val="8"/>
    </w:pPr>
    <w:rPr>
      <w:rFonts w:asciiTheme="minorHAnsi" w:eastAsiaTheme="majorEastAsia" w:hAnsiTheme="minorHAnsi" w:cstheme="majorBidi"/>
      <w:color w:val="4B4F5A" w:themeColor="text1" w:themeTint="D8"/>
      <w:kern w:val="2"/>
      <w:sz w:val="24"/>
      <w:szCs w:val="24"/>
      <w:lang w:val="lv-LV" w:eastAsia="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97441"/>
    <w:rPr>
      <w:rFonts w:asciiTheme="majorHAnsi" w:eastAsiaTheme="majorEastAsia" w:hAnsiTheme="majorHAnsi" w:cstheme="majorBidi"/>
      <w:color w:val="D2002D" w:themeColor="accent2"/>
      <w:sz w:val="40"/>
      <w:szCs w:val="40"/>
    </w:rPr>
  </w:style>
  <w:style w:type="character" w:customStyle="1" w:styleId="Virsraksts2Rakstz">
    <w:name w:val="Virsraksts 2 Rakstz."/>
    <w:basedOn w:val="Noklusjumarindkopasfonts"/>
    <w:link w:val="Virsraksts2"/>
    <w:uiPriority w:val="9"/>
    <w:semiHidden/>
    <w:rsid w:val="00097441"/>
    <w:rPr>
      <w:rFonts w:asciiTheme="majorHAnsi" w:eastAsiaTheme="majorEastAsia" w:hAnsiTheme="majorHAnsi" w:cstheme="majorBidi"/>
      <w:color w:val="2F3239" w:themeColor="text1"/>
      <w:sz w:val="32"/>
      <w:szCs w:val="32"/>
    </w:rPr>
  </w:style>
  <w:style w:type="character" w:customStyle="1" w:styleId="Virsraksts3Rakstz">
    <w:name w:val="Virsraksts 3 Rakstz."/>
    <w:basedOn w:val="Noklusjumarindkopasfonts"/>
    <w:link w:val="Virsraksts3"/>
    <w:uiPriority w:val="9"/>
    <w:semiHidden/>
    <w:rsid w:val="00097441"/>
    <w:rPr>
      <w:rFonts w:eastAsiaTheme="majorEastAsia" w:cstheme="majorBidi"/>
      <w:color w:val="B9B29E" w:themeColor="accent1" w:themeShade="BF"/>
      <w:sz w:val="28"/>
      <w:szCs w:val="28"/>
    </w:rPr>
  </w:style>
  <w:style w:type="character" w:customStyle="1" w:styleId="Virsraksts4Rakstz">
    <w:name w:val="Virsraksts 4 Rakstz."/>
    <w:basedOn w:val="Noklusjumarindkopasfonts"/>
    <w:link w:val="Virsraksts4"/>
    <w:uiPriority w:val="9"/>
    <w:semiHidden/>
    <w:rsid w:val="00097441"/>
    <w:rPr>
      <w:rFonts w:eastAsiaTheme="majorEastAsia" w:cstheme="majorBidi"/>
      <w:i/>
      <w:iCs/>
      <w:color w:val="B9B29E" w:themeColor="accent1" w:themeShade="BF"/>
    </w:rPr>
  </w:style>
  <w:style w:type="character" w:customStyle="1" w:styleId="Virsraksts5Rakstz">
    <w:name w:val="Virsraksts 5 Rakstz."/>
    <w:basedOn w:val="Noklusjumarindkopasfonts"/>
    <w:link w:val="Virsraksts5"/>
    <w:uiPriority w:val="9"/>
    <w:semiHidden/>
    <w:rsid w:val="00097441"/>
    <w:rPr>
      <w:rFonts w:eastAsiaTheme="majorEastAsia" w:cstheme="majorBidi"/>
      <w:color w:val="B9B29E" w:themeColor="accent1" w:themeShade="BF"/>
    </w:rPr>
  </w:style>
  <w:style w:type="character" w:customStyle="1" w:styleId="Virsraksts6Rakstz">
    <w:name w:val="Virsraksts 6 Rakstz."/>
    <w:basedOn w:val="Noklusjumarindkopasfonts"/>
    <w:link w:val="Virsraksts6"/>
    <w:uiPriority w:val="9"/>
    <w:semiHidden/>
    <w:rsid w:val="00097441"/>
    <w:rPr>
      <w:rFonts w:eastAsiaTheme="majorEastAsia" w:cstheme="majorBidi"/>
      <w:i/>
      <w:iCs/>
      <w:color w:val="6F7686" w:themeColor="text1" w:themeTint="A6"/>
    </w:rPr>
  </w:style>
  <w:style w:type="character" w:customStyle="1" w:styleId="Virsraksts7Rakstz">
    <w:name w:val="Virsraksts 7 Rakstz."/>
    <w:basedOn w:val="Noklusjumarindkopasfonts"/>
    <w:link w:val="Virsraksts7"/>
    <w:uiPriority w:val="9"/>
    <w:semiHidden/>
    <w:rsid w:val="00097441"/>
    <w:rPr>
      <w:rFonts w:eastAsiaTheme="majorEastAsia" w:cstheme="majorBidi"/>
      <w:color w:val="6F7686" w:themeColor="text1" w:themeTint="A6"/>
    </w:rPr>
  </w:style>
  <w:style w:type="character" w:customStyle="1" w:styleId="Virsraksts8Rakstz">
    <w:name w:val="Virsraksts 8 Rakstz."/>
    <w:basedOn w:val="Noklusjumarindkopasfonts"/>
    <w:link w:val="Virsraksts8"/>
    <w:uiPriority w:val="9"/>
    <w:semiHidden/>
    <w:rsid w:val="00097441"/>
    <w:rPr>
      <w:rFonts w:eastAsiaTheme="majorEastAsia" w:cstheme="majorBidi"/>
      <w:i/>
      <w:iCs/>
      <w:color w:val="4B4F5A" w:themeColor="text1" w:themeTint="D8"/>
    </w:rPr>
  </w:style>
  <w:style w:type="character" w:customStyle="1" w:styleId="Virsraksts9Rakstz">
    <w:name w:val="Virsraksts 9 Rakstz."/>
    <w:basedOn w:val="Noklusjumarindkopasfonts"/>
    <w:link w:val="Virsraksts9"/>
    <w:uiPriority w:val="9"/>
    <w:semiHidden/>
    <w:rsid w:val="00097441"/>
    <w:rPr>
      <w:rFonts w:eastAsiaTheme="majorEastAsia" w:cstheme="majorBidi"/>
      <w:color w:val="4B4F5A" w:themeColor="text1" w:themeTint="D8"/>
    </w:rPr>
  </w:style>
  <w:style w:type="paragraph" w:styleId="Nosaukums">
    <w:name w:val="Title"/>
    <w:basedOn w:val="Parasts"/>
    <w:next w:val="Parasts"/>
    <w:link w:val="NosaukumsRakstz"/>
    <w:uiPriority w:val="10"/>
    <w:qFormat/>
    <w:rsid w:val="00097441"/>
    <w:pPr>
      <w:spacing w:after="80"/>
      <w:contextualSpacing/>
    </w:pPr>
    <w:rPr>
      <w:rFonts w:asciiTheme="majorHAnsi" w:eastAsiaTheme="majorEastAsia" w:hAnsiTheme="majorHAnsi" w:cstheme="majorBidi"/>
      <w:color w:val="D2002D" w:themeColor="accent2"/>
      <w:spacing w:val="-10"/>
      <w:kern w:val="28"/>
      <w:sz w:val="56"/>
      <w:szCs w:val="56"/>
      <w:lang w:val="lv-LV" w:eastAsia="en-US"/>
      <w14:ligatures w14:val="standardContextual"/>
    </w:rPr>
  </w:style>
  <w:style w:type="character" w:customStyle="1" w:styleId="NosaukumsRakstz">
    <w:name w:val="Nosaukums Rakstz."/>
    <w:basedOn w:val="Noklusjumarindkopasfonts"/>
    <w:link w:val="Nosaukums"/>
    <w:uiPriority w:val="10"/>
    <w:rsid w:val="00097441"/>
    <w:rPr>
      <w:rFonts w:asciiTheme="majorHAnsi" w:eastAsiaTheme="majorEastAsia" w:hAnsiTheme="majorHAnsi" w:cstheme="majorBidi"/>
      <w:color w:val="D2002D" w:themeColor="accent2"/>
      <w:spacing w:val="-10"/>
      <w:kern w:val="28"/>
      <w:sz w:val="56"/>
      <w:szCs w:val="56"/>
    </w:rPr>
  </w:style>
  <w:style w:type="paragraph" w:styleId="Apakvirsraksts">
    <w:name w:val="Subtitle"/>
    <w:basedOn w:val="Parasts"/>
    <w:next w:val="Parasts"/>
    <w:link w:val="ApakvirsrakstsRakstz"/>
    <w:uiPriority w:val="11"/>
    <w:qFormat/>
    <w:rsid w:val="00097441"/>
    <w:pPr>
      <w:numPr>
        <w:ilvl w:val="1"/>
      </w:numPr>
      <w:spacing w:after="160" w:line="278" w:lineRule="auto"/>
    </w:pPr>
    <w:rPr>
      <w:rFonts w:asciiTheme="minorHAnsi" w:eastAsiaTheme="majorEastAsia" w:hAnsiTheme="minorHAnsi" w:cstheme="majorBidi"/>
      <w:color w:val="474955" w:themeColor="text2"/>
      <w:spacing w:val="15"/>
      <w:kern w:val="2"/>
      <w:sz w:val="28"/>
      <w:szCs w:val="28"/>
      <w:lang w:val="lv-LV" w:eastAsia="en-US"/>
      <w14:ligatures w14:val="standardContextual"/>
    </w:rPr>
  </w:style>
  <w:style w:type="character" w:customStyle="1" w:styleId="ApakvirsrakstsRakstz">
    <w:name w:val="Apakšvirsraksts Rakstz."/>
    <w:basedOn w:val="Noklusjumarindkopasfonts"/>
    <w:link w:val="Apakvirsraksts"/>
    <w:uiPriority w:val="11"/>
    <w:rsid w:val="00097441"/>
    <w:rPr>
      <w:rFonts w:eastAsiaTheme="majorEastAsia" w:cstheme="majorBidi"/>
      <w:color w:val="474955" w:themeColor="text2"/>
      <w:spacing w:val="15"/>
      <w:sz w:val="28"/>
      <w:szCs w:val="28"/>
    </w:rPr>
  </w:style>
  <w:style w:type="paragraph" w:styleId="Citts">
    <w:name w:val="Quote"/>
    <w:basedOn w:val="Parasts"/>
    <w:next w:val="Parasts"/>
    <w:link w:val="CittsRakstz"/>
    <w:uiPriority w:val="29"/>
    <w:qFormat/>
    <w:rsid w:val="00097441"/>
    <w:pPr>
      <w:spacing w:before="160" w:after="160" w:line="278" w:lineRule="auto"/>
      <w:jc w:val="center"/>
    </w:pPr>
    <w:rPr>
      <w:rFonts w:asciiTheme="minorHAnsi" w:eastAsiaTheme="minorHAnsi" w:hAnsiTheme="minorHAnsi" w:cstheme="minorBidi"/>
      <w:i/>
      <w:iCs/>
      <w:color w:val="5D6270" w:themeColor="text1" w:themeTint="BF"/>
      <w:kern w:val="2"/>
      <w:sz w:val="24"/>
      <w:szCs w:val="24"/>
      <w:lang w:val="lv-LV" w:eastAsia="en-US"/>
      <w14:ligatures w14:val="standardContextual"/>
    </w:rPr>
  </w:style>
  <w:style w:type="character" w:customStyle="1" w:styleId="CittsRakstz">
    <w:name w:val="Citāts Rakstz."/>
    <w:basedOn w:val="Noklusjumarindkopasfonts"/>
    <w:link w:val="Citts"/>
    <w:uiPriority w:val="29"/>
    <w:rsid w:val="00097441"/>
    <w:rPr>
      <w:i/>
      <w:iCs/>
      <w:color w:val="5D6270" w:themeColor="text1" w:themeTint="BF"/>
    </w:rPr>
  </w:style>
  <w:style w:type="paragraph" w:styleId="Sarakstarindkopa">
    <w:name w:val="List Paragraph"/>
    <w:basedOn w:val="Parasts"/>
    <w:uiPriority w:val="34"/>
    <w:qFormat/>
    <w:rsid w:val="00097441"/>
    <w:pPr>
      <w:spacing w:after="160" w:line="278" w:lineRule="auto"/>
      <w:ind w:left="720"/>
      <w:contextualSpacing/>
    </w:pPr>
    <w:rPr>
      <w:rFonts w:asciiTheme="minorHAnsi" w:eastAsiaTheme="minorHAnsi" w:hAnsiTheme="minorHAnsi" w:cstheme="minorBidi"/>
      <w:kern w:val="2"/>
      <w:sz w:val="24"/>
      <w:szCs w:val="24"/>
      <w:lang w:val="lv-LV" w:eastAsia="en-US"/>
      <w14:ligatures w14:val="standardContextual"/>
    </w:rPr>
  </w:style>
  <w:style w:type="character" w:styleId="Intensvsizclums">
    <w:name w:val="Intense Emphasis"/>
    <w:basedOn w:val="Noklusjumarindkopasfonts"/>
    <w:uiPriority w:val="21"/>
    <w:qFormat/>
    <w:rsid w:val="00097441"/>
    <w:rPr>
      <w:i/>
      <w:iCs/>
      <w:color w:val="2F3239" w:themeColor="text1"/>
    </w:rPr>
  </w:style>
  <w:style w:type="paragraph" w:styleId="Intensvscitts">
    <w:name w:val="Intense Quote"/>
    <w:basedOn w:val="Parasts"/>
    <w:next w:val="Parasts"/>
    <w:link w:val="IntensvscittsRakstz"/>
    <w:uiPriority w:val="30"/>
    <w:qFormat/>
    <w:rsid w:val="00097441"/>
    <w:pPr>
      <w:pBdr>
        <w:top w:val="single" w:sz="4" w:space="10" w:color="B9B29E" w:themeColor="accent1" w:themeShade="BF"/>
        <w:bottom w:val="single" w:sz="4" w:space="10" w:color="B9B29E" w:themeColor="accent1" w:themeShade="BF"/>
      </w:pBdr>
      <w:spacing w:before="360" w:after="360" w:line="278" w:lineRule="auto"/>
      <w:ind w:left="864" w:right="864"/>
      <w:jc w:val="center"/>
    </w:pPr>
    <w:rPr>
      <w:rFonts w:asciiTheme="minorHAnsi" w:eastAsiaTheme="minorHAnsi" w:hAnsiTheme="minorHAnsi" w:cstheme="minorBidi"/>
      <w:i/>
      <w:iCs/>
      <w:color w:val="474955" w:themeColor="text2"/>
      <w:kern w:val="2"/>
      <w:sz w:val="24"/>
      <w:szCs w:val="24"/>
      <w:lang w:val="lv-LV" w:eastAsia="en-US"/>
      <w14:ligatures w14:val="standardContextual"/>
    </w:rPr>
  </w:style>
  <w:style w:type="character" w:customStyle="1" w:styleId="IntensvscittsRakstz">
    <w:name w:val="Intensīvs citāts Rakstz."/>
    <w:basedOn w:val="Noklusjumarindkopasfonts"/>
    <w:link w:val="Intensvscitts"/>
    <w:uiPriority w:val="30"/>
    <w:rsid w:val="00097441"/>
    <w:rPr>
      <w:i/>
      <w:iCs/>
      <w:color w:val="474955" w:themeColor="text2"/>
    </w:rPr>
  </w:style>
  <w:style w:type="character" w:styleId="Intensvaatsauce">
    <w:name w:val="Intense Reference"/>
    <w:basedOn w:val="Noklusjumarindkopasfonts"/>
    <w:uiPriority w:val="32"/>
    <w:qFormat/>
    <w:rsid w:val="00097441"/>
    <w:rPr>
      <w:b/>
      <w:bCs/>
      <w:smallCaps/>
      <w:color w:val="2F3239" w:themeColor="text1"/>
      <w:spacing w:val="5"/>
    </w:rPr>
  </w:style>
  <w:style w:type="character" w:styleId="Izsmalcintsizclums">
    <w:name w:val="Subtle Emphasis"/>
    <w:basedOn w:val="Noklusjumarindkopasfonts"/>
    <w:uiPriority w:val="19"/>
    <w:qFormat/>
    <w:rsid w:val="00097441"/>
    <w:rPr>
      <w:i/>
      <w:iCs/>
      <w:color w:val="474955" w:themeColor="text2"/>
    </w:rPr>
  </w:style>
  <w:style w:type="paragraph" w:styleId="Bezatstarpm">
    <w:name w:val="No Spacing"/>
    <w:uiPriority w:val="1"/>
    <w:qFormat/>
    <w:rsid w:val="00097441"/>
    <w:pPr>
      <w:spacing w:after="0" w:line="240" w:lineRule="auto"/>
    </w:pPr>
  </w:style>
  <w:style w:type="paragraph" w:styleId="Kjene">
    <w:name w:val="footer"/>
    <w:basedOn w:val="Parasts"/>
    <w:link w:val="KjeneRakstz"/>
    <w:uiPriority w:val="99"/>
    <w:unhideWhenUsed/>
    <w:rsid w:val="00A07957"/>
    <w:pPr>
      <w:tabs>
        <w:tab w:val="center" w:pos="4320"/>
        <w:tab w:val="right" w:pos="8640"/>
      </w:tabs>
    </w:pPr>
  </w:style>
  <w:style w:type="character" w:customStyle="1" w:styleId="KjeneRakstz">
    <w:name w:val="Kājene Rakstz."/>
    <w:basedOn w:val="Noklusjumarindkopasfonts"/>
    <w:link w:val="Kjene"/>
    <w:uiPriority w:val="99"/>
    <w:rsid w:val="00A07957"/>
    <w:rPr>
      <w:rFonts w:ascii="Times New Roman" w:eastAsia="Times New Roman" w:hAnsi="Times New Roman" w:cs="Times New Roman"/>
      <w:kern w:val="0"/>
      <w:sz w:val="20"/>
      <w:szCs w:val="20"/>
      <w:lang w:val="en-US"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2387</Words>
  <Characters>1362</Characters>
  <Application>Microsoft Office Word</Application>
  <DocSecurity>0</DocSecurity>
  <Lines>11</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Okure</dc:creator>
  <cp:keywords/>
  <dc:description/>
  <cp:lastModifiedBy>Inga Zilberga</cp:lastModifiedBy>
  <cp:revision>2</cp:revision>
  <dcterms:created xsi:type="dcterms:W3CDTF">2026-07-10T07:46:00Z</dcterms:created>
  <dcterms:modified xsi:type="dcterms:W3CDTF">2026-07-10T07:46:00Z</dcterms:modified>
</cp:coreProperties>
</file>