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B2913" w14:textId="77777777" w:rsidR="00450E84" w:rsidRPr="00AB3184" w:rsidRDefault="00450E84" w:rsidP="00450E84">
      <w:pPr>
        <w:tabs>
          <w:tab w:val="left" w:pos="3760"/>
        </w:tabs>
        <w:ind w:left="-284" w:right="-908" w:firstLine="4395"/>
        <w:jc w:val="right"/>
        <w:rPr>
          <w:rFonts w:eastAsia="Calibri"/>
          <w:i/>
          <w:szCs w:val="24"/>
          <w:lang w:eastAsia="lv-LV"/>
        </w:rPr>
      </w:pPr>
      <w:r w:rsidRPr="00AB3184">
        <w:rPr>
          <w:rFonts w:eastAsia="Calibri"/>
          <w:i/>
          <w:szCs w:val="24"/>
          <w:lang w:eastAsia="lv-LV"/>
        </w:rPr>
        <w:t>APSTIPRINĀTS:</w:t>
      </w:r>
    </w:p>
    <w:p w14:paraId="4A137B32" w14:textId="098148CB" w:rsidR="00450E84" w:rsidRPr="008951BD" w:rsidRDefault="00450E84" w:rsidP="00450E84">
      <w:pPr>
        <w:tabs>
          <w:tab w:val="left" w:pos="3760"/>
        </w:tabs>
        <w:ind w:right="-908"/>
        <w:jc w:val="right"/>
        <w:rPr>
          <w:rFonts w:eastAsia="Calibri"/>
          <w:i/>
          <w:szCs w:val="24"/>
          <w:lang w:eastAsia="lv-LV"/>
        </w:rPr>
      </w:pPr>
      <w:r w:rsidRPr="00AB3184">
        <w:rPr>
          <w:rFonts w:eastAsia="Calibri"/>
          <w:i/>
          <w:szCs w:val="24"/>
          <w:lang w:eastAsia="lv-LV"/>
        </w:rPr>
        <w:t xml:space="preserve">ar iepirkuma komisijas </w:t>
      </w:r>
      <w:r w:rsidRPr="00AB3184">
        <w:rPr>
          <w:rFonts w:eastAsia="Arial Unicode MS"/>
          <w:i/>
          <w:szCs w:val="24"/>
          <w:lang w:eastAsia="lv-LV"/>
        </w:rPr>
        <w:t>202</w:t>
      </w:r>
      <w:r>
        <w:rPr>
          <w:rFonts w:eastAsia="Arial Unicode MS"/>
          <w:i/>
          <w:szCs w:val="24"/>
          <w:lang w:eastAsia="lv-LV"/>
        </w:rPr>
        <w:t>3</w:t>
      </w:r>
      <w:r w:rsidRPr="00AB3184">
        <w:rPr>
          <w:rFonts w:eastAsia="Arial Unicode MS"/>
          <w:i/>
          <w:szCs w:val="24"/>
          <w:lang w:eastAsia="lv-LV"/>
        </w:rPr>
        <w:t xml:space="preserve">.gada </w:t>
      </w:r>
      <w:r>
        <w:rPr>
          <w:rFonts w:eastAsia="Arial Unicode MS"/>
          <w:i/>
          <w:szCs w:val="24"/>
          <w:lang w:eastAsia="lv-LV"/>
        </w:rPr>
        <w:t>15.marta</w:t>
      </w:r>
      <w:r w:rsidRPr="008951BD">
        <w:rPr>
          <w:rFonts w:eastAsia="Arial Unicode MS"/>
          <w:i/>
          <w:szCs w:val="24"/>
          <w:lang w:eastAsia="lv-LV"/>
        </w:rPr>
        <w:t xml:space="preserve"> </w:t>
      </w:r>
    </w:p>
    <w:p w14:paraId="6869F6F7" w14:textId="0236B98C" w:rsidR="00450E84" w:rsidRDefault="00450E84" w:rsidP="00450E84">
      <w:pPr>
        <w:ind w:right="-908"/>
        <w:jc w:val="right"/>
        <w:rPr>
          <w:rFonts w:eastAsia="Arial Unicode MS"/>
          <w:i/>
          <w:szCs w:val="24"/>
          <w:lang w:eastAsia="lv-LV"/>
        </w:rPr>
      </w:pPr>
      <w:r w:rsidRPr="008951BD">
        <w:rPr>
          <w:rFonts w:eastAsia="Arial Unicode MS"/>
          <w:i/>
          <w:szCs w:val="24"/>
          <w:lang w:eastAsia="lv-LV"/>
        </w:rPr>
        <w:t>sēdes protokolu Nr.</w:t>
      </w:r>
      <w:r>
        <w:rPr>
          <w:rFonts w:eastAsia="Arial Unicode MS"/>
          <w:i/>
          <w:szCs w:val="24"/>
          <w:lang w:eastAsia="lv-LV"/>
        </w:rPr>
        <w:t>3</w:t>
      </w:r>
    </w:p>
    <w:p w14:paraId="44345EB6" w14:textId="77777777" w:rsidR="00450E84" w:rsidRDefault="00450E84" w:rsidP="00450E84">
      <w:pPr>
        <w:ind w:right="-908"/>
        <w:rPr>
          <w:rFonts w:ascii="Arial" w:hAnsi="Arial" w:cs="Arial"/>
        </w:rPr>
      </w:pPr>
    </w:p>
    <w:p w14:paraId="7E4ACCA9" w14:textId="43BB6F13" w:rsidR="0098236C" w:rsidRDefault="0098236C">
      <w:pPr>
        <w:rPr>
          <w:rFonts w:ascii="Arial" w:hAnsi="Arial" w:cs="Arial"/>
        </w:rPr>
      </w:pPr>
    </w:p>
    <w:p w14:paraId="08A0FC14" w14:textId="22F34C61" w:rsidR="00450E84" w:rsidRDefault="00450E84">
      <w:pPr>
        <w:rPr>
          <w:rFonts w:ascii="Arial" w:hAnsi="Arial" w:cs="Arial"/>
        </w:rPr>
      </w:pPr>
    </w:p>
    <w:p w14:paraId="47F45E27" w14:textId="77777777" w:rsidR="00450E84" w:rsidRPr="003838DE" w:rsidRDefault="00450E84" w:rsidP="00450E84">
      <w:pPr>
        <w:jc w:val="center"/>
        <w:rPr>
          <w:b/>
        </w:rPr>
      </w:pPr>
      <w:bookmarkStart w:id="0" w:name="_Hlk101795106"/>
      <w:r w:rsidRPr="003838DE">
        <w:rPr>
          <w:b/>
        </w:rPr>
        <w:t>VAS </w:t>
      </w:r>
      <w:r w:rsidRPr="003838DE">
        <w:rPr>
          <w:b/>
          <w:color w:val="222222"/>
        </w:rPr>
        <w:t>„</w:t>
      </w:r>
      <w:r w:rsidRPr="003838DE">
        <w:rPr>
          <w:b/>
        </w:rPr>
        <w:t xml:space="preserve">Latvijas dzelzceļš” </w:t>
      </w:r>
    </w:p>
    <w:p w14:paraId="04CCEA4B" w14:textId="77777777" w:rsidR="00450E84" w:rsidRPr="003838DE" w:rsidRDefault="00450E84" w:rsidP="00450E84">
      <w:pPr>
        <w:ind w:left="142" w:right="-1"/>
        <w:jc w:val="center"/>
        <w:rPr>
          <w:b/>
        </w:rPr>
      </w:pPr>
      <w:r w:rsidRPr="003838DE">
        <w:rPr>
          <w:b/>
        </w:rPr>
        <w:t>sarunu procedūras ar publikāciju</w:t>
      </w:r>
    </w:p>
    <w:p w14:paraId="4444F6D8" w14:textId="77777777" w:rsidR="00450E84" w:rsidRDefault="00450E84" w:rsidP="00450E84">
      <w:pPr>
        <w:ind w:left="284" w:right="282"/>
        <w:jc w:val="center"/>
        <w:rPr>
          <w:b/>
          <w:bCs/>
          <w:color w:val="212529"/>
          <w:szCs w:val="24"/>
          <w:shd w:val="clear" w:color="auto" w:fill="FFFFFF"/>
        </w:rPr>
      </w:pPr>
      <w:r w:rsidRPr="003838DE">
        <w:rPr>
          <w:b/>
          <w:bCs/>
          <w:color w:val="222222"/>
          <w:szCs w:val="24"/>
        </w:rPr>
        <w:t>„</w:t>
      </w:r>
      <w:r w:rsidRPr="003838DE">
        <w:rPr>
          <w:b/>
          <w:bCs/>
          <w:color w:val="212529"/>
          <w:szCs w:val="24"/>
          <w:shd w:val="clear" w:color="auto" w:fill="FFFFFF"/>
        </w:rPr>
        <w:t xml:space="preserve">Elektrotehnisko iekārtu, </w:t>
      </w:r>
      <w:proofErr w:type="spellStart"/>
      <w:r w:rsidRPr="003838DE">
        <w:rPr>
          <w:b/>
          <w:bCs/>
          <w:color w:val="212529"/>
          <w:szCs w:val="24"/>
          <w:shd w:val="clear" w:color="auto" w:fill="FFFFFF"/>
        </w:rPr>
        <w:t>elektromateriālu</w:t>
      </w:r>
      <w:proofErr w:type="spellEnd"/>
      <w:r w:rsidRPr="003838DE">
        <w:rPr>
          <w:b/>
          <w:bCs/>
          <w:color w:val="212529"/>
          <w:szCs w:val="24"/>
          <w:shd w:val="clear" w:color="auto" w:fill="FFFFFF"/>
        </w:rPr>
        <w:t xml:space="preserve"> un citu preču piegāde”</w:t>
      </w:r>
    </w:p>
    <w:p w14:paraId="24BE8DC5" w14:textId="77777777" w:rsidR="00450E84" w:rsidRPr="003838DE" w:rsidRDefault="00450E84" w:rsidP="00450E84">
      <w:pPr>
        <w:ind w:left="284" w:right="282"/>
        <w:jc w:val="center"/>
        <w:rPr>
          <w:color w:val="212529"/>
          <w:szCs w:val="24"/>
          <w:shd w:val="clear" w:color="auto" w:fill="FFFFFF"/>
        </w:rPr>
      </w:pPr>
      <w:r w:rsidRPr="003838DE">
        <w:rPr>
          <w:color w:val="222222"/>
          <w:szCs w:val="24"/>
        </w:rPr>
        <w:t>(turpmāk – sarunu procedūra)</w:t>
      </w:r>
    </w:p>
    <w:p w14:paraId="3D51751D" w14:textId="77777777" w:rsidR="00450E84" w:rsidRPr="003838DE" w:rsidRDefault="00450E84" w:rsidP="00450E84">
      <w:pPr>
        <w:ind w:left="284" w:right="282"/>
        <w:rPr>
          <w:rFonts w:eastAsia="Calibri"/>
        </w:rPr>
      </w:pPr>
    </w:p>
    <w:p w14:paraId="7906BC5D" w14:textId="77777777" w:rsidR="00450E84" w:rsidRPr="003838DE" w:rsidRDefault="00450E84" w:rsidP="00450E84">
      <w:pPr>
        <w:ind w:left="284" w:right="282"/>
        <w:jc w:val="center"/>
        <w:rPr>
          <w:rFonts w:eastAsia="Calibri"/>
          <w:b/>
        </w:rPr>
      </w:pPr>
      <w:r w:rsidRPr="003838DE">
        <w:rPr>
          <w:rFonts w:eastAsia="Calibri"/>
          <w:b/>
        </w:rPr>
        <w:t>Skaidrojums Nr.2</w:t>
      </w:r>
    </w:p>
    <w:p w14:paraId="12752C08" w14:textId="77777777" w:rsidR="00450E84" w:rsidRPr="003838DE" w:rsidRDefault="00450E84" w:rsidP="00450E84">
      <w:pPr>
        <w:ind w:left="284" w:right="282"/>
        <w:jc w:val="center"/>
        <w:rPr>
          <w:rFonts w:eastAsia="Calibri"/>
          <w:b/>
          <w:highlight w:val="yellow"/>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4678"/>
      </w:tblGrid>
      <w:tr w:rsidR="00450E84" w:rsidRPr="003838DE" w14:paraId="5F144DE4" w14:textId="77777777" w:rsidTr="00450E84">
        <w:trPr>
          <w:trHeight w:val="744"/>
        </w:trPr>
        <w:tc>
          <w:tcPr>
            <w:tcW w:w="709" w:type="dxa"/>
            <w:shd w:val="clear" w:color="auto" w:fill="FFF2CC"/>
            <w:vAlign w:val="center"/>
          </w:tcPr>
          <w:p w14:paraId="3426E648" w14:textId="77777777" w:rsidR="00450E84" w:rsidRPr="003838DE" w:rsidRDefault="00450E84" w:rsidP="00BC29D3">
            <w:pPr>
              <w:jc w:val="center"/>
              <w:rPr>
                <w:rFonts w:eastAsia="Calibri"/>
                <w:b/>
              </w:rPr>
            </w:pPr>
            <w:r w:rsidRPr="003838DE">
              <w:rPr>
                <w:rFonts w:eastAsia="Calibri"/>
                <w:b/>
              </w:rPr>
              <w:t>Nr.</w:t>
            </w:r>
          </w:p>
          <w:p w14:paraId="535D148C" w14:textId="77777777" w:rsidR="00450E84" w:rsidRPr="003838DE" w:rsidRDefault="00450E84" w:rsidP="00BC29D3">
            <w:pPr>
              <w:jc w:val="center"/>
              <w:rPr>
                <w:rFonts w:eastAsia="Calibri"/>
                <w:b/>
              </w:rPr>
            </w:pPr>
            <w:r w:rsidRPr="003838DE">
              <w:rPr>
                <w:rFonts w:eastAsia="Calibri"/>
                <w:b/>
              </w:rPr>
              <w:t>p.k.</w:t>
            </w:r>
          </w:p>
        </w:tc>
        <w:tc>
          <w:tcPr>
            <w:tcW w:w="4394" w:type="dxa"/>
            <w:shd w:val="clear" w:color="auto" w:fill="FFF2CC"/>
            <w:vAlign w:val="center"/>
          </w:tcPr>
          <w:p w14:paraId="34EA2822" w14:textId="77777777" w:rsidR="00450E84" w:rsidRPr="003838DE" w:rsidRDefault="00450E84" w:rsidP="00BC29D3">
            <w:pPr>
              <w:jc w:val="center"/>
              <w:rPr>
                <w:rFonts w:eastAsia="Calibri"/>
                <w:b/>
                <w:i/>
              </w:rPr>
            </w:pPr>
            <w:r w:rsidRPr="003838DE">
              <w:rPr>
                <w:rFonts w:eastAsia="Calibri"/>
                <w:b/>
                <w:i/>
              </w:rPr>
              <w:t>Jautājums</w:t>
            </w:r>
          </w:p>
        </w:tc>
        <w:tc>
          <w:tcPr>
            <w:tcW w:w="4678" w:type="dxa"/>
            <w:shd w:val="clear" w:color="auto" w:fill="FFF2CC"/>
            <w:vAlign w:val="center"/>
          </w:tcPr>
          <w:p w14:paraId="16128210" w14:textId="77777777" w:rsidR="00450E84" w:rsidRPr="003838DE" w:rsidRDefault="00450E84" w:rsidP="00BC29D3">
            <w:pPr>
              <w:jc w:val="center"/>
              <w:rPr>
                <w:rFonts w:eastAsia="Calibri"/>
                <w:b/>
                <w:i/>
              </w:rPr>
            </w:pPr>
            <w:r w:rsidRPr="003838DE">
              <w:rPr>
                <w:rFonts w:eastAsia="Calibri"/>
                <w:b/>
                <w:i/>
              </w:rPr>
              <w:t>Atbilde</w:t>
            </w:r>
          </w:p>
        </w:tc>
      </w:tr>
      <w:tr w:rsidR="00450E84" w:rsidRPr="003838DE" w14:paraId="0E72818C" w14:textId="77777777" w:rsidTr="00450E84">
        <w:trPr>
          <w:trHeight w:val="948"/>
        </w:trPr>
        <w:tc>
          <w:tcPr>
            <w:tcW w:w="709" w:type="dxa"/>
            <w:shd w:val="clear" w:color="auto" w:fill="auto"/>
          </w:tcPr>
          <w:p w14:paraId="28FD18DE" w14:textId="77777777" w:rsidR="00450E84" w:rsidRPr="003838DE" w:rsidRDefault="00450E84" w:rsidP="00BC29D3">
            <w:pPr>
              <w:jc w:val="center"/>
              <w:rPr>
                <w:rFonts w:eastAsia="Calibri"/>
              </w:rPr>
            </w:pPr>
            <w:r w:rsidRPr="003838DE">
              <w:rPr>
                <w:rFonts w:eastAsia="Calibri"/>
              </w:rPr>
              <w:t>1.</w:t>
            </w:r>
          </w:p>
        </w:tc>
        <w:tc>
          <w:tcPr>
            <w:tcW w:w="4394" w:type="dxa"/>
            <w:shd w:val="clear" w:color="auto" w:fill="auto"/>
          </w:tcPr>
          <w:p w14:paraId="10AFCBDA" w14:textId="77777777" w:rsidR="00450E84" w:rsidRPr="003838DE" w:rsidRDefault="00450E84" w:rsidP="00BC29D3">
            <w:r w:rsidRPr="003838DE">
              <w:t>Vai ir jānodrošina iepirkumā minēto pozīciju pieejamība tieši mūsu veikalā? Līdz ar to, ka nav zināms nepieciešamais daudzums, tad ir grūti nodrošināt pieejamību uz vietas.</w:t>
            </w:r>
          </w:p>
        </w:tc>
        <w:tc>
          <w:tcPr>
            <w:tcW w:w="4678" w:type="dxa"/>
            <w:shd w:val="clear" w:color="auto" w:fill="auto"/>
          </w:tcPr>
          <w:p w14:paraId="432C1D72" w14:textId="77777777" w:rsidR="00450E84" w:rsidRPr="003838DE" w:rsidRDefault="00450E84" w:rsidP="00BC29D3">
            <w:pPr>
              <w:pStyle w:val="Sarakstarindkopa"/>
              <w:tabs>
                <w:tab w:val="left" w:pos="567"/>
              </w:tabs>
              <w:ind w:left="0"/>
              <w:jc w:val="both"/>
              <w:rPr>
                <w:sz w:val="24"/>
                <w:szCs w:val="24"/>
              </w:rPr>
            </w:pPr>
            <w:r>
              <w:rPr>
                <w:sz w:val="24"/>
                <w:szCs w:val="24"/>
              </w:rPr>
              <w:t xml:space="preserve">Skaidrojam, ka sarunu procedūras priekšmetā minētās preces pieejamību nav obligāti jānodrošina pārdevēja veikalā, bet pēc pasūtījuma veikšanas ir nepieciešams nodrošināt pasūtītājam preces piegādi saskaņā ar sarunu procedūras nolikuma nosacījumiem. </w:t>
            </w:r>
          </w:p>
        </w:tc>
      </w:tr>
      <w:tr w:rsidR="00450E84" w:rsidRPr="003838DE" w14:paraId="1C5B6D95" w14:textId="77777777" w:rsidTr="00450E84">
        <w:trPr>
          <w:trHeight w:val="948"/>
        </w:trPr>
        <w:tc>
          <w:tcPr>
            <w:tcW w:w="709" w:type="dxa"/>
            <w:shd w:val="clear" w:color="auto" w:fill="auto"/>
          </w:tcPr>
          <w:p w14:paraId="59E0973F" w14:textId="77777777" w:rsidR="00450E84" w:rsidRPr="003838DE" w:rsidRDefault="00450E84" w:rsidP="00BC29D3">
            <w:pPr>
              <w:jc w:val="center"/>
              <w:rPr>
                <w:rFonts w:eastAsia="Calibri"/>
              </w:rPr>
            </w:pPr>
            <w:r w:rsidRPr="003838DE">
              <w:rPr>
                <w:rFonts w:eastAsia="Calibri"/>
              </w:rPr>
              <w:t>2.</w:t>
            </w:r>
          </w:p>
        </w:tc>
        <w:tc>
          <w:tcPr>
            <w:tcW w:w="4394" w:type="dxa"/>
            <w:shd w:val="clear" w:color="auto" w:fill="auto"/>
          </w:tcPr>
          <w:p w14:paraId="18173F5B" w14:textId="77777777" w:rsidR="00450E84" w:rsidRPr="003838DE" w:rsidRDefault="00450E84" w:rsidP="00BC29D3">
            <w:r w:rsidRPr="003838DE">
              <w:t>Telekomunikācijas un datoru tīkla materiālu un to komutācijas un montāžas piederumu iegāde  - pozīcija nr2. Vai piedāvātā kabeļa diametrs var būt 3mm, nevis 2mm?  Mūsu pārstāvētais ražotājs standarta kabeļiem nepiedāvā 2mm diametru, bet tikai uzlabotiem kabeļiem ir šāds diametrs. Uzlabotie kabeļi ir stipri dārgāki.</w:t>
            </w:r>
          </w:p>
        </w:tc>
        <w:tc>
          <w:tcPr>
            <w:tcW w:w="4678" w:type="dxa"/>
            <w:shd w:val="clear" w:color="auto" w:fill="auto"/>
          </w:tcPr>
          <w:p w14:paraId="4EE63603" w14:textId="77777777" w:rsidR="00450E84" w:rsidRPr="00586717" w:rsidRDefault="00450E84" w:rsidP="00BC29D3">
            <w:pPr>
              <w:rPr>
                <w:szCs w:val="24"/>
              </w:rPr>
            </w:pPr>
            <w:r w:rsidRPr="00586717">
              <w:rPr>
                <w:szCs w:val="24"/>
              </w:rPr>
              <w:t>Skaidrojam, ka piedāvātā kabeļa diametrs var būt 3 mm.</w:t>
            </w:r>
          </w:p>
          <w:p w14:paraId="70B2F484" w14:textId="77777777" w:rsidR="00450E84" w:rsidRPr="003838DE" w:rsidRDefault="00450E84" w:rsidP="00BC29D3">
            <w:pPr>
              <w:pStyle w:val="Sarakstarindkopa"/>
              <w:tabs>
                <w:tab w:val="left" w:pos="567"/>
              </w:tabs>
              <w:ind w:left="0"/>
              <w:jc w:val="both"/>
              <w:rPr>
                <w:sz w:val="24"/>
                <w:szCs w:val="24"/>
              </w:rPr>
            </w:pPr>
          </w:p>
        </w:tc>
      </w:tr>
      <w:tr w:rsidR="00450E84" w:rsidRPr="003838DE" w14:paraId="3601EFEE" w14:textId="77777777" w:rsidTr="00450E84">
        <w:trPr>
          <w:trHeight w:val="948"/>
        </w:trPr>
        <w:tc>
          <w:tcPr>
            <w:tcW w:w="709" w:type="dxa"/>
            <w:shd w:val="clear" w:color="auto" w:fill="auto"/>
          </w:tcPr>
          <w:p w14:paraId="7A87A9E4" w14:textId="77777777" w:rsidR="00450E84" w:rsidRPr="003838DE" w:rsidRDefault="00450E84" w:rsidP="00BC29D3">
            <w:pPr>
              <w:jc w:val="center"/>
              <w:rPr>
                <w:rFonts w:eastAsia="Calibri"/>
              </w:rPr>
            </w:pPr>
            <w:r w:rsidRPr="003838DE">
              <w:rPr>
                <w:rFonts w:eastAsia="Calibri"/>
              </w:rPr>
              <w:t>3.</w:t>
            </w:r>
          </w:p>
        </w:tc>
        <w:tc>
          <w:tcPr>
            <w:tcW w:w="4394" w:type="dxa"/>
            <w:shd w:val="clear" w:color="auto" w:fill="auto"/>
          </w:tcPr>
          <w:p w14:paraId="418D9BF2" w14:textId="77777777" w:rsidR="00450E84" w:rsidRPr="003838DE" w:rsidRDefault="00450E84" w:rsidP="00BC29D3">
            <w:pPr>
              <w:rPr>
                <w:sz w:val="22"/>
              </w:rPr>
            </w:pPr>
            <w:r w:rsidRPr="003838DE">
              <w:t xml:space="preserve">Telekomunikācijas un datoru tīkla materiālu un to komutācijas un montāžas piederumu iegāde  - pozīcija nr4. Vai kopā ar </w:t>
            </w:r>
            <w:proofErr w:type="spellStart"/>
            <w:r w:rsidRPr="003838DE">
              <w:t>patčpaneli</w:t>
            </w:r>
            <w:proofErr w:type="spellEnd"/>
            <w:r w:rsidRPr="003838DE">
              <w:t xml:space="preserve"> komplektā jābūt adapteriem un/vai kasetēm? Diemžēl pēc apraksta nevar precīzi saprast</w:t>
            </w:r>
            <w:r w:rsidRPr="003838DE">
              <w:rPr>
                <w:sz w:val="22"/>
              </w:rPr>
              <w:t>.</w:t>
            </w:r>
          </w:p>
        </w:tc>
        <w:tc>
          <w:tcPr>
            <w:tcW w:w="4678" w:type="dxa"/>
            <w:shd w:val="clear" w:color="auto" w:fill="auto"/>
          </w:tcPr>
          <w:p w14:paraId="70A4602A" w14:textId="77777777" w:rsidR="00450E84" w:rsidRPr="00E64AA3" w:rsidRDefault="00450E84" w:rsidP="00BC29D3">
            <w:pPr>
              <w:rPr>
                <w:szCs w:val="24"/>
              </w:rPr>
            </w:pPr>
            <w:r w:rsidRPr="00E64AA3">
              <w:rPr>
                <w:szCs w:val="24"/>
              </w:rPr>
              <w:t>Skaidrojam, ka sarunu procedūras nolikuma 3.pielikuma „Tehniskā specifikācija” sadaļā</w:t>
            </w:r>
            <w:r>
              <w:rPr>
                <w:szCs w:val="24"/>
              </w:rPr>
              <w:t>”:</w:t>
            </w:r>
          </w:p>
          <w:p w14:paraId="6D0A0F82" w14:textId="77777777" w:rsidR="00450E84" w:rsidRPr="00D713EB" w:rsidRDefault="00450E84" w:rsidP="00BC29D3">
            <w:pPr>
              <w:rPr>
                <w:szCs w:val="24"/>
                <w:u w:val="single"/>
              </w:rPr>
            </w:pPr>
            <w:r w:rsidRPr="00E64AA3">
              <w:rPr>
                <w:i/>
                <w:iCs/>
                <w:szCs w:val="24"/>
                <w:lang w:eastAsia="lv-LV"/>
              </w:rPr>
              <w:t>Telekomunikācijas un datoru tīkla materiālu un to komutācijas un montāžas piederumu iegāde</w:t>
            </w:r>
            <w:r w:rsidRPr="00E64AA3">
              <w:rPr>
                <w:szCs w:val="24"/>
              </w:rPr>
              <w:t xml:space="preserve"> 4.pozīcijas 2.punktā ir noteikts, ka precei </w:t>
            </w:r>
            <w:r w:rsidRPr="00DC660F">
              <w:rPr>
                <w:szCs w:val="24"/>
                <w:u w:val="single"/>
              </w:rPr>
              <w:t>ir jābūt</w:t>
            </w:r>
            <w:r w:rsidRPr="00E64AA3">
              <w:rPr>
                <w:szCs w:val="24"/>
              </w:rPr>
              <w:t xml:space="preserve"> komplektā ar adapteriem</w:t>
            </w:r>
            <w:r>
              <w:rPr>
                <w:szCs w:val="24"/>
              </w:rPr>
              <w:t xml:space="preserve"> (24 gab.)</w:t>
            </w:r>
            <w:r w:rsidRPr="00E64AA3">
              <w:rPr>
                <w:szCs w:val="24"/>
              </w:rPr>
              <w:t>.</w:t>
            </w:r>
            <w:r>
              <w:rPr>
                <w:szCs w:val="24"/>
              </w:rPr>
              <w:t xml:space="preserve"> Minētajā preces pozīcijā nekas nav noteikts par kasetēm, attiecīgi precei </w:t>
            </w:r>
            <w:r w:rsidRPr="00D713EB">
              <w:rPr>
                <w:szCs w:val="24"/>
                <w:u w:val="single"/>
              </w:rPr>
              <w:t>nav jābūt</w:t>
            </w:r>
            <w:r w:rsidRPr="00D713EB">
              <w:rPr>
                <w:szCs w:val="24"/>
              </w:rPr>
              <w:t xml:space="preserve"> komplektā</w:t>
            </w:r>
            <w:r>
              <w:rPr>
                <w:szCs w:val="24"/>
              </w:rPr>
              <w:t xml:space="preserve"> </w:t>
            </w:r>
            <w:r w:rsidRPr="00D713EB">
              <w:rPr>
                <w:szCs w:val="24"/>
              </w:rPr>
              <w:t>ar kasetēm.</w:t>
            </w:r>
          </w:p>
        </w:tc>
      </w:tr>
      <w:bookmarkEnd w:id="0"/>
    </w:tbl>
    <w:p w14:paraId="6AC5F928" w14:textId="77777777" w:rsidR="00450E84" w:rsidRPr="00C20434" w:rsidRDefault="00450E84">
      <w:pPr>
        <w:rPr>
          <w:rFonts w:ascii="Arial" w:hAnsi="Arial" w:cs="Arial"/>
        </w:rPr>
      </w:pPr>
    </w:p>
    <w:sectPr w:rsidR="00450E84" w:rsidRPr="00C204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E84"/>
    <w:rsid w:val="003204EA"/>
    <w:rsid w:val="00450E84"/>
    <w:rsid w:val="008A611D"/>
    <w:rsid w:val="0098236C"/>
    <w:rsid w:val="00C204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936AC"/>
  <w15:chartTrackingRefBased/>
  <w15:docId w15:val="{2F927C80-2A67-474B-ADA4-9B682E34A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50E84"/>
    <w:pPr>
      <w:spacing w:after="0" w:line="240" w:lineRule="auto"/>
      <w:jc w:val="both"/>
    </w:pPr>
    <w:rPr>
      <w:rFonts w:ascii="Times New Roman"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
    <w:basedOn w:val="Parasts"/>
    <w:link w:val="SarakstarindkopaRakstz"/>
    <w:uiPriority w:val="34"/>
    <w:qFormat/>
    <w:rsid w:val="00450E84"/>
    <w:pPr>
      <w:ind w:left="720"/>
      <w:contextualSpacing/>
      <w:jc w:val="left"/>
    </w:pPr>
    <w:rPr>
      <w:rFonts w:eastAsia="Calibri"/>
      <w:sz w:val="20"/>
      <w:szCs w:val="20"/>
      <w:lang w:eastAsia="lv-LV"/>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450E84"/>
    <w:rPr>
      <w:rFonts w:ascii="Times New Roman" w:eastAsia="Calibri"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1071</Words>
  <Characters>611</Characters>
  <Application>Microsoft Office Word</Application>
  <DocSecurity>0</DocSecurity>
  <Lines>5</Lines>
  <Paragraphs>3</Paragraphs>
  <ScaleCrop>false</ScaleCrop>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Zilberga</cp:lastModifiedBy>
  <cp:revision>2</cp:revision>
  <dcterms:created xsi:type="dcterms:W3CDTF">2023-03-15T12:11:00Z</dcterms:created>
  <dcterms:modified xsi:type="dcterms:W3CDTF">2023-03-15T12:11:00Z</dcterms:modified>
</cp:coreProperties>
</file>