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C1E1" w14:textId="77777777" w:rsidR="006C392C" w:rsidRPr="00AB3184" w:rsidRDefault="006C392C" w:rsidP="006C392C">
      <w:pPr>
        <w:tabs>
          <w:tab w:val="left" w:pos="3760"/>
        </w:tabs>
        <w:ind w:left="-284" w:right="-1044" w:firstLine="4395"/>
        <w:jc w:val="right"/>
        <w:rPr>
          <w:rFonts w:eastAsia="Calibri"/>
          <w:i/>
          <w:szCs w:val="24"/>
          <w:lang w:eastAsia="lv-LV"/>
        </w:rPr>
      </w:pPr>
      <w:r w:rsidRPr="00AB3184">
        <w:rPr>
          <w:rFonts w:eastAsia="Calibri"/>
          <w:i/>
          <w:szCs w:val="24"/>
          <w:lang w:eastAsia="lv-LV"/>
        </w:rPr>
        <w:t>APSTIPRINĀTS:</w:t>
      </w:r>
    </w:p>
    <w:p w14:paraId="45B77CFA" w14:textId="283B999C" w:rsidR="006C392C" w:rsidRPr="008951BD" w:rsidRDefault="006C392C" w:rsidP="006C392C">
      <w:pPr>
        <w:tabs>
          <w:tab w:val="left" w:pos="3760"/>
        </w:tabs>
        <w:ind w:right="-1044"/>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202</w:t>
      </w:r>
      <w:r>
        <w:rPr>
          <w:rFonts w:eastAsia="Arial Unicode MS"/>
          <w:i/>
          <w:szCs w:val="24"/>
          <w:lang w:eastAsia="lv-LV"/>
        </w:rPr>
        <w:t>3</w:t>
      </w:r>
      <w:r w:rsidRPr="00AB3184">
        <w:rPr>
          <w:rFonts w:eastAsia="Arial Unicode MS"/>
          <w:i/>
          <w:szCs w:val="24"/>
          <w:lang w:eastAsia="lv-LV"/>
        </w:rPr>
        <w:t xml:space="preserve">.gada </w:t>
      </w:r>
      <w:r>
        <w:rPr>
          <w:rFonts w:eastAsia="Arial Unicode MS"/>
          <w:i/>
          <w:szCs w:val="24"/>
          <w:lang w:eastAsia="lv-LV"/>
        </w:rPr>
        <w:t>27.marta</w:t>
      </w:r>
      <w:r w:rsidRPr="008951BD">
        <w:rPr>
          <w:rFonts w:eastAsia="Arial Unicode MS"/>
          <w:i/>
          <w:szCs w:val="24"/>
          <w:lang w:eastAsia="lv-LV"/>
        </w:rPr>
        <w:t xml:space="preserve"> </w:t>
      </w:r>
    </w:p>
    <w:p w14:paraId="2B424B0E" w14:textId="14D3CFB5" w:rsidR="006C392C" w:rsidRDefault="006C392C" w:rsidP="006C392C">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3</w:t>
      </w:r>
    </w:p>
    <w:p w14:paraId="009BAE07" w14:textId="178E4136" w:rsidR="0098236C" w:rsidRDefault="0098236C">
      <w:pPr>
        <w:rPr>
          <w:rFonts w:ascii="Arial" w:hAnsi="Arial" w:cs="Arial"/>
        </w:rPr>
      </w:pPr>
    </w:p>
    <w:p w14:paraId="47686073" w14:textId="0A48FF96" w:rsidR="006C392C" w:rsidRDefault="006C392C">
      <w:pPr>
        <w:rPr>
          <w:rFonts w:ascii="Arial" w:hAnsi="Arial" w:cs="Arial"/>
        </w:rPr>
      </w:pPr>
    </w:p>
    <w:p w14:paraId="67EA0F62" w14:textId="77777777" w:rsidR="006C392C" w:rsidRPr="00DD030B" w:rsidRDefault="006C392C" w:rsidP="006C392C">
      <w:pPr>
        <w:jc w:val="center"/>
        <w:rPr>
          <w:b/>
        </w:rPr>
      </w:pPr>
      <w:bookmarkStart w:id="0" w:name="_Hlk101795106"/>
      <w:r w:rsidRPr="00DD030B">
        <w:rPr>
          <w:b/>
        </w:rPr>
        <w:t>VAS </w:t>
      </w:r>
      <w:r w:rsidRPr="00DD030B">
        <w:rPr>
          <w:b/>
          <w:color w:val="222222"/>
        </w:rPr>
        <w:t>„</w:t>
      </w:r>
      <w:r w:rsidRPr="00DD030B">
        <w:rPr>
          <w:b/>
        </w:rPr>
        <w:t xml:space="preserve">Latvijas dzelzceļš” </w:t>
      </w:r>
    </w:p>
    <w:p w14:paraId="195D22A8" w14:textId="77777777" w:rsidR="006C392C" w:rsidRPr="00DD030B" w:rsidRDefault="006C392C" w:rsidP="006C392C">
      <w:pPr>
        <w:ind w:left="142" w:right="-1"/>
        <w:jc w:val="center"/>
        <w:rPr>
          <w:b/>
        </w:rPr>
      </w:pPr>
      <w:r w:rsidRPr="00DD030B">
        <w:rPr>
          <w:b/>
        </w:rPr>
        <w:t>sarunu procedūras ar publikāciju</w:t>
      </w:r>
    </w:p>
    <w:p w14:paraId="25074AC5" w14:textId="77777777" w:rsidR="006C392C" w:rsidRPr="00AE38A7" w:rsidRDefault="006C392C" w:rsidP="006C392C">
      <w:pPr>
        <w:jc w:val="center"/>
        <w:rPr>
          <w:b/>
          <w:bCs/>
          <w:szCs w:val="24"/>
          <w:shd w:val="clear" w:color="auto" w:fill="FFFFFF"/>
        </w:rPr>
      </w:pPr>
      <w:r w:rsidRPr="00666438">
        <w:rPr>
          <w:b/>
          <w:bCs/>
          <w:szCs w:val="24"/>
        </w:rPr>
        <w:t>„</w:t>
      </w:r>
      <w:r w:rsidRPr="00AE38A7">
        <w:rPr>
          <w:b/>
          <w:bCs/>
          <w:szCs w:val="24"/>
          <w:shd w:val="clear" w:color="auto" w:fill="FFFFFF"/>
        </w:rPr>
        <w:t>Dzelzceļa luksoforu, gaismas diožu sistēmu,</w:t>
      </w:r>
    </w:p>
    <w:p w14:paraId="23CC22D6" w14:textId="77777777" w:rsidR="006C392C" w:rsidRPr="00AE38A7" w:rsidRDefault="006C392C" w:rsidP="006C392C">
      <w:pPr>
        <w:jc w:val="center"/>
        <w:rPr>
          <w:b/>
          <w:bCs/>
          <w:color w:val="212529"/>
          <w:szCs w:val="24"/>
          <w:shd w:val="clear" w:color="auto" w:fill="FFFFFF"/>
        </w:rPr>
      </w:pPr>
      <w:r w:rsidRPr="00AE38A7">
        <w:rPr>
          <w:b/>
          <w:bCs/>
          <w:szCs w:val="24"/>
          <w:shd w:val="clear" w:color="auto" w:fill="FFFFFF"/>
        </w:rPr>
        <w:t xml:space="preserve"> to piederumu un rezerves daļu piegāde”</w:t>
      </w:r>
      <w:r w:rsidRPr="00AE38A7">
        <w:rPr>
          <w:b/>
          <w:bCs/>
          <w:color w:val="212529"/>
          <w:szCs w:val="24"/>
          <w:shd w:val="clear" w:color="auto" w:fill="FFFFFF"/>
        </w:rPr>
        <w:t xml:space="preserve"> </w:t>
      </w:r>
    </w:p>
    <w:p w14:paraId="69613937" w14:textId="77777777" w:rsidR="006C392C" w:rsidRPr="00AE38A7" w:rsidRDefault="006C392C" w:rsidP="006C392C">
      <w:pPr>
        <w:jc w:val="center"/>
        <w:rPr>
          <w:rFonts w:eastAsia="Calibri"/>
        </w:rPr>
      </w:pPr>
      <w:r w:rsidRPr="00AE38A7">
        <w:rPr>
          <w:color w:val="212529"/>
          <w:szCs w:val="24"/>
          <w:shd w:val="clear" w:color="auto" w:fill="FFFFFF"/>
        </w:rPr>
        <w:t>(turpmāk – sarunu procedūra)</w:t>
      </w:r>
    </w:p>
    <w:p w14:paraId="51DCEC24" w14:textId="77777777" w:rsidR="006C392C" w:rsidRPr="00AE38A7" w:rsidRDefault="006C392C" w:rsidP="006C392C">
      <w:pPr>
        <w:ind w:left="284" w:right="282"/>
        <w:rPr>
          <w:rFonts w:eastAsia="Calibri"/>
        </w:rPr>
      </w:pPr>
    </w:p>
    <w:p w14:paraId="235BEFE8" w14:textId="77777777" w:rsidR="006C392C" w:rsidRPr="00DD030B" w:rsidRDefault="006C392C" w:rsidP="006C392C">
      <w:pPr>
        <w:ind w:left="284" w:right="282"/>
        <w:jc w:val="center"/>
        <w:rPr>
          <w:rFonts w:eastAsia="Calibri"/>
          <w:b/>
        </w:rPr>
      </w:pPr>
      <w:r w:rsidRPr="00AE38A7">
        <w:rPr>
          <w:rFonts w:eastAsia="Calibri"/>
          <w:b/>
        </w:rPr>
        <w:t>Skaidrojums Nr.2</w:t>
      </w:r>
    </w:p>
    <w:p w14:paraId="190F4E0E" w14:textId="77777777" w:rsidR="006C392C" w:rsidRPr="007E7C3B" w:rsidRDefault="006C392C" w:rsidP="006C392C">
      <w:pPr>
        <w:ind w:left="284" w:right="282"/>
        <w:jc w:val="center"/>
        <w:rPr>
          <w:rFonts w:eastAsia="Calibri"/>
          <w:b/>
          <w:highlight w:val="yellow"/>
        </w:rPr>
      </w:pP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4820"/>
      </w:tblGrid>
      <w:tr w:rsidR="006C392C" w:rsidRPr="009234CE" w14:paraId="3D208C61" w14:textId="77777777" w:rsidTr="006C392C">
        <w:trPr>
          <w:trHeight w:val="655"/>
        </w:trPr>
        <w:tc>
          <w:tcPr>
            <w:tcW w:w="851" w:type="dxa"/>
            <w:shd w:val="clear" w:color="auto" w:fill="FFF2CC"/>
            <w:vAlign w:val="center"/>
          </w:tcPr>
          <w:p w14:paraId="7B324074" w14:textId="77777777" w:rsidR="006C392C" w:rsidRPr="009234CE" w:rsidRDefault="006C392C" w:rsidP="00E24A9D">
            <w:pPr>
              <w:jc w:val="center"/>
              <w:rPr>
                <w:rFonts w:eastAsia="Calibri"/>
                <w:b/>
                <w:szCs w:val="24"/>
              </w:rPr>
            </w:pPr>
            <w:r w:rsidRPr="009234CE">
              <w:rPr>
                <w:rFonts w:eastAsia="Calibri"/>
                <w:b/>
                <w:szCs w:val="24"/>
              </w:rPr>
              <w:t>Nr.</w:t>
            </w:r>
          </w:p>
          <w:p w14:paraId="51DFAC62" w14:textId="77777777" w:rsidR="006C392C" w:rsidRPr="009234CE" w:rsidRDefault="006C392C" w:rsidP="00E24A9D">
            <w:pPr>
              <w:jc w:val="center"/>
              <w:rPr>
                <w:rFonts w:eastAsia="Calibri"/>
                <w:b/>
                <w:szCs w:val="24"/>
              </w:rPr>
            </w:pPr>
            <w:r w:rsidRPr="009234CE">
              <w:rPr>
                <w:rFonts w:eastAsia="Calibri"/>
                <w:b/>
                <w:szCs w:val="24"/>
              </w:rPr>
              <w:t>p.k.</w:t>
            </w:r>
          </w:p>
        </w:tc>
        <w:tc>
          <w:tcPr>
            <w:tcW w:w="4536" w:type="dxa"/>
            <w:shd w:val="clear" w:color="auto" w:fill="FFF2CC"/>
            <w:vAlign w:val="center"/>
          </w:tcPr>
          <w:p w14:paraId="0CE50A64" w14:textId="77777777" w:rsidR="006C392C" w:rsidRPr="009234CE" w:rsidRDefault="006C392C" w:rsidP="00E24A9D">
            <w:pPr>
              <w:jc w:val="center"/>
              <w:rPr>
                <w:rFonts w:eastAsia="Calibri"/>
                <w:b/>
                <w:i/>
                <w:szCs w:val="24"/>
              </w:rPr>
            </w:pPr>
            <w:r w:rsidRPr="009234CE">
              <w:rPr>
                <w:rFonts w:eastAsia="Calibri"/>
                <w:b/>
                <w:i/>
                <w:szCs w:val="24"/>
              </w:rPr>
              <w:t>Jautājums</w:t>
            </w:r>
          </w:p>
        </w:tc>
        <w:tc>
          <w:tcPr>
            <w:tcW w:w="4820" w:type="dxa"/>
            <w:shd w:val="clear" w:color="auto" w:fill="FFF2CC"/>
            <w:vAlign w:val="center"/>
          </w:tcPr>
          <w:p w14:paraId="49CC4930" w14:textId="77777777" w:rsidR="006C392C" w:rsidRPr="009234CE" w:rsidRDefault="006C392C" w:rsidP="00E24A9D">
            <w:pPr>
              <w:jc w:val="center"/>
              <w:rPr>
                <w:rFonts w:eastAsia="Calibri"/>
                <w:b/>
                <w:i/>
                <w:szCs w:val="24"/>
              </w:rPr>
            </w:pPr>
            <w:r w:rsidRPr="009234CE">
              <w:rPr>
                <w:rFonts w:eastAsia="Calibri"/>
                <w:b/>
                <w:i/>
                <w:szCs w:val="24"/>
              </w:rPr>
              <w:t>Atbilde</w:t>
            </w:r>
          </w:p>
        </w:tc>
      </w:tr>
      <w:tr w:rsidR="006C392C" w:rsidRPr="009234CE" w14:paraId="4CAB4A7C" w14:textId="77777777" w:rsidTr="006C392C">
        <w:trPr>
          <w:trHeight w:val="834"/>
        </w:trPr>
        <w:tc>
          <w:tcPr>
            <w:tcW w:w="851" w:type="dxa"/>
            <w:shd w:val="clear" w:color="auto" w:fill="auto"/>
          </w:tcPr>
          <w:p w14:paraId="24B64C31" w14:textId="77777777" w:rsidR="006C392C" w:rsidRPr="009234CE" w:rsidRDefault="006C392C" w:rsidP="00E24A9D">
            <w:pPr>
              <w:jc w:val="center"/>
              <w:rPr>
                <w:rFonts w:eastAsia="Calibri"/>
                <w:szCs w:val="24"/>
              </w:rPr>
            </w:pPr>
            <w:r w:rsidRPr="009234CE">
              <w:rPr>
                <w:rFonts w:eastAsia="Calibri"/>
                <w:szCs w:val="24"/>
              </w:rPr>
              <w:t>1.</w:t>
            </w:r>
          </w:p>
        </w:tc>
        <w:tc>
          <w:tcPr>
            <w:tcW w:w="4536" w:type="dxa"/>
            <w:shd w:val="clear" w:color="auto" w:fill="auto"/>
          </w:tcPr>
          <w:p w14:paraId="0095BD4F" w14:textId="77777777" w:rsidR="006C392C" w:rsidRPr="00B33EFE" w:rsidRDefault="006C392C" w:rsidP="00E24A9D">
            <w:pPr>
              <w:rPr>
                <w:rFonts w:eastAsia="Times New Roman"/>
                <w:szCs w:val="24"/>
                <w:lang w:val="ru-RU"/>
              </w:rPr>
            </w:pPr>
            <w:proofErr w:type="spellStart"/>
            <w:r w:rsidRPr="00B33EFE">
              <w:rPr>
                <w:rFonts w:eastAsia="Times New Roman"/>
                <w:szCs w:val="24"/>
                <w:lang w:val="ru-RU"/>
              </w:rPr>
              <w:t>Cогласно</w:t>
            </w:r>
            <w:proofErr w:type="spellEnd"/>
            <w:r w:rsidRPr="00B33EFE">
              <w:rPr>
                <w:rFonts w:eastAsia="Times New Roman"/>
                <w:szCs w:val="24"/>
                <w:lang w:val="ru-RU"/>
              </w:rPr>
              <w:t xml:space="preserve"> конкурсных условий, документация для данного тендера LDZ 2023/51-SPAV должны быть предоставлена либо курьером, либо по почте в конверте, просим рассмотреть возможность предоставления пакета документов подписанных электронной подписью, для участия в тендерной </w:t>
            </w:r>
            <w:proofErr w:type="gramStart"/>
            <w:r w:rsidRPr="00B33EFE">
              <w:rPr>
                <w:rFonts w:eastAsia="Times New Roman"/>
                <w:szCs w:val="24"/>
                <w:lang w:val="ru-RU"/>
              </w:rPr>
              <w:t>закупке  по</w:t>
            </w:r>
            <w:proofErr w:type="gramEnd"/>
            <w:r w:rsidRPr="00B33EFE">
              <w:rPr>
                <w:rFonts w:eastAsia="Times New Roman"/>
                <w:szCs w:val="24"/>
                <w:lang w:val="ru-RU"/>
              </w:rPr>
              <w:t xml:space="preserve"> е-</w:t>
            </w:r>
            <w:proofErr w:type="spellStart"/>
            <w:r w:rsidRPr="00B33EFE">
              <w:rPr>
                <w:rFonts w:eastAsia="Times New Roman"/>
                <w:szCs w:val="24"/>
                <w:lang w:val="ru-RU"/>
              </w:rPr>
              <w:t>майл</w:t>
            </w:r>
            <w:proofErr w:type="spellEnd"/>
            <w:r w:rsidRPr="00B33EFE">
              <w:rPr>
                <w:rFonts w:eastAsia="Times New Roman"/>
                <w:szCs w:val="24"/>
                <w:lang w:val="ru-RU"/>
              </w:rPr>
              <w:t>.</w:t>
            </w:r>
          </w:p>
          <w:p w14:paraId="0B8C3A72" w14:textId="77777777" w:rsidR="006C392C" w:rsidRPr="00C54841" w:rsidRDefault="006C392C" w:rsidP="00E24A9D">
            <w:pPr>
              <w:rPr>
                <w:szCs w:val="24"/>
              </w:rPr>
            </w:pPr>
          </w:p>
          <w:p w14:paraId="1DAAEA7A" w14:textId="77777777" w:rsidR="006C392C" w:rsidRPr="00C54841" w:rsidRDefault="006C392C" w:rsidP="00E24A9D">
            <w:pPr>
              <w:rPr>
                <w:szCs w:val="24"/>
              </w:rPr>
            </w:pPr>
            <w:r w:rsidRPr="00C54841">
              <w:rPr>
                <w:szCs w:val="24"/>
              </w:rPr>
              <w:t>Atbilstoši konkursa nosacījumiem dokumentācija šim konkursam LDZ 2023/51-SPAV ir jānodrošina vai nu ar kurjeru, vai pa pastu aploksnē, lūdzam apsvērt iespēju nodrošināt ar elektronisko parakstu parakstītu dokumentu paketi dalībai konkursa iepirkumā pa e - pastu.</w:t>
            </w:r>
            <w:r w:rsidRPr="00C54841">
              <w:rPr>
                <w:szCs w:val="24"/>
                <w:vertAlign w:val="superscript"/>
              </w:rPr>
              <w:t>*</w:t>
            </w:r>
          </w:p>
        </w:tc>
        <w:tc>
          <w:tcPr>
            <w:tcW w:w="4820" w:type="dxa"/>
            <w:shd w:val="clear" w:color="auto" w:fill="auto"/>
          </w:tcPr>
          <w:p w14:paraId="40F21F1A" w14:textId="77777777" w:rsidR="006C392C" w:rsidRPr="00C54841" w:rsidRDefault="006C392C" w:rsidP="00E24A9D">
            <w:pPr>
              <w:rPr>
                <w:szCs w:val="24"/>
              </w:rPr>
            </w:pPr>
            <w:bookmarkStart w:id="1" w:name="_Hlk105084512"/>
            <w:r w:rsidRPr="00C54841">
              <w:rPr>
                <w:szCs w:val="24"/>
              </w:rPr>
              <w:t>Skaidrojam, ka piedāvājumu var iesniegt arī elektroniski ar drošu elektronisko parakstu vai PDF formā (ja nepieciešams, aizsargājot ar</w:t>
            </w:r>
            <w:r w:rsidRPr="00C54841">
              <w:rPr>
                <w:rFonts w:ascii="Arial" w:hAnsi="Arial" w:cs="Arial"/>
                <w:szCs w:val="24"/>
              </w:rPr>
              <w:t xml:space="preserve"> </w:t>
            </w:r>
            <w:r w:rsidRPr="00C54841">
              <w:rPr>
                <w:szCs w:val="24"/>
              </w:rPr>
              <w:t xml:space="preserve">drošu elektronisku atslēgu un paroli (šādā gadījumā pretendents ir atbildīgs par aizpildāmo formu atbilstību dokumentācijas prasībām un formu paraugiem, kā arī dokumenta atvēršanas un nolasīšanas iespējām)), nosūtot to uz e-pasta adresēm: </w:t>
            </w:r>
            <w:r w:rsidRPr="00C54841">
              <w:rPr>
                <w:i/>
                <w:iCs/>
                <w:szCs w:val="24"/>
              </w:rPr>
              <w:t>info@ldz.lv</w:t>
            </w:r>
            <w:bookmarkEnd w:id="1"/>
            <w:r w:rsidRPr="00C54841">
              <w:rPr>
                <w:i/>
                <w:iCs/>
                <w:szCs w:val="24"/>
              </w:rPr>
              <w:t xml:space="preserve"> </w:t>
            </w:r>
            <w:r w:rsidRPr="00C54841">
              <w:rPr>
                <w:szCs w:val="24"/>
              </w:rPr>
              <w:t xml:space="preserve">un </w:t>
            </w:r>
            <w:r w:rsidRPr="00C54841">
              <w:rPr>
                <w:i/>
                <w:iCs/>
                <w:szCs w:val="24"/>
              </w:rPr>
              <w:t>santa.okure@ldz.lv</w:t>
            </w:r>
            <w:r w:rsidRPr="00C54841">
              <w:rPr>
                <w:szCs w:val="24"/>
              </w:rPr>
              <w:t xml:space="preserve">. </w:t>
            </w:r>
          </w:p>
          <w:p w14:paraId="23A0034C" w14:textId="77777777" w:rsidR="006C392C" w:rsidRPr="00C54841" w:rsidRDefault="006C392C" w:rsidP="00E24A9D">
            <w:pPr>
              <w:pStyle w:val="Sarakstarindkopa"/>
              <w:tabs>
                <w:tab w:val="left" w:pos="319"/>
              </w:tabs>
              <w:ind w:left="0" w:right="31"/>
              <w:jc w:val="both"/>
              <w:rPr>
                <w:sz w:val="24"/>
                <w:szCs w:val="24"/>
              </w:rPr>
            </w:pPr>
            <w:r w:rsidRPr="00C54841">
              <w:rPr>
                <w:sz w:val="24"/>
                <w:szCs w:val="24"/>
              </w:rPr>
              <w:t xml:space="preserve">Iesniedzot piedāvājumu elektroniski pretendentam jāapzinās, ka šādā veidā netiek nodrošināta piedāvājuma satura </w:t>
            </w:r>
            <w:proofErr w:type="spellStart"/>
            <w:r w:rsidRPr="00C54841">
              <w:rPr>
                <w:sz w:val="24"/>
                <w:szCs w:val="24"/>
              </w:rPr>
              <w:t>neredzamība</w:t>
            </w:r>
            <w:proofErr w:type="spellEnd"/>
            <w:r w:rsidRPr="00C54841">
              <w:rPr>
                <w:sz w:val="24"/>
                <w:szCs w:val="24"/>
              </w:rPr>
              <w:t xml:space="preserve"> (konfidencialitāte), jo piedāvājuma teksts ir redzams uzreiz pēc atsūtīšanas. Pasūtītāja dokumentu vadības sistēma nespēj nodrošināt to, ka piedāvājums tiktu atvērts tikai norādītajā laikā. Ja pretendentam tā ir ērtāk un tas apzinās visus riskus, tiek pieļauta piedāvājuma iesniegšana elektroniskā veidā.</w:t>
            </w:r>
          </w:p>
        </w:tc>
      </w:tr>
      <w:tr w:rsidR="006C392C" w:rsidRPr="009234CE" w14:paraId="2609B4DC" w14:textId="77777777" w:rsidTr="006C392C">
        <w:trPr>
          <w:trHeight w:val="834"/>
        </w:trPr>
        <w:tc>
          <w:tcPr>
            <w:tcW w:w="851" w:type="dxa"/>
            <w:shd w:val="clear" w:color="auto" w:fill="auto"/>
          </w:tcPr>
          <w:p w14:paraId="625542A6" w14:textId="77777777" w:rsidR="006C392C" w:rsidRPr="009234CE" w:rsidRDefault="006C392C" w:rsidP="00E24A9D">
            <w:pPr>
              <w:jc w:val="center"/>
              <w:rPr>
                <w:rFonts w:eastAsia="Calibri"/>
                <w:szCs w:val="24"/>
              </w:rPr>
            </w:pPr>
            <w:r>
              <w:rPr>
                <w:rFonts w:eastAsia="Calibri"/>
                <w:szCs w:val="24"/>
              </w:rPr>
              <w:t>2.</w:t>
            </w:r>
          </w:p>
        </w:tc>
        <w:tc>
          <w:tcPr>
            <w:tcW w:w="4536" w:type="dxa"/>
            <w:shd w:val="clear" w:color="auto" w:fill="auto"/>
          </w:tcPr>
          <w:p w14:paraId="7BEABEB5" w14:textId="77777777" w:rsidR="006C392C" w:rsidRPr="006156A7" w:rsidRDefault="006C392C" w:rsidP="00E24A9D">
            <w:pPr>
              <w:rPr>
                <w:rFonts w:eastAsia="Times New Roman"/>
                <w:szCs w:val="24"/>
              </w:rPr>
            </w:pPr>
            <w:r>
              <w:rPr>
                <w:rFonts w:eastAsia="Times New Roman"/>
              </w:rPr>
              <w:t xml:space="preserve">Lūdzam Jūs izskatīt iespēju izvērtēt uzņēmuma </w:t>
            </w:r>
            <w:r w:rsidRPr="003C039B">
              <w:rPr>
                <w:szCs w:val="24"/>
              </w:rPr>
              <w:t>„</w:t>
            </w:r>
            <w:r>
              <w:rPr>
                <w:rFonts w:eastAsia="Times New Roman"/>
              </w:rPr>
              <w:t>XXX”  finanšu darbības rezultātus no 2018.gada līdz 2021.gadam ieskaitot sekojošu iemeslu dēļ:</w:t>
            </w:r>
            <w:r>
              <w:rPr>
                <w:rFonts w:eastAsia="Times New Roman"/>
              </w:rPr>
              <w:br/>
              <w:t>- 2019.gads uzņēmumam bija restrukturizācijas un pārprofilēšanas gads, līdz ar to darba apjomi un apgrozījums bija nelieli;</w:t>
            </w:r>
            <w:r>
              <w:rPr>
                <w:rFonts w:eastAsia="Times New Roman"/>
              </w:rPr>
              <w:br/>
              <w:t>- 2019.gadam sekoja 2020.un 2021.gadi, kad darba apjomi bija mazāki Covid-19 epidēmijas dēļ;</w:t>
            </w:r>
            <w:r>
              <w:rPr>
                <w:rFonts w:eastAsia="Times New Roman"/>
              </w:rPr>
              <w:br/>
              <w:t>- izejvielu un darba materiālu cenas ir būtiski cēlušās, kopš kara sākuma Ukrainā, līdz ar ko identiska iepirkuma apjoma cena tagad ir būtiski augstāka nekā pirms kara sākuma.</w:t>
            </w:r>
            <w:r>
              <w:rPr>
                <w:rFonts w:eastAsia="Times New Roman"/>
              </w:rPr>
              <w:br/>
              <w:t xml:space="preserve">No augstāk minētā izriet, ka gan iepirkuma </w:t>
            </w:r>
            <w:r>
              <w:rPr>
                <w:rFonts w:eastAsia="Times New Roman"/>
              </w:rPr>
              <w:lastRenderedPageBreak/>
              <w:t>apjoma cenas būtiski pieauga, gan 3 gadi, kuri tiks ņemti vērā, aprēķinot attiecību starp piedāvāto cenu un apgrozījumu, nebija veiksmīgi uzņēmumam pārsvarā ārējo apstākļu dēļ. </w:t>
            </w:r>
            <w:r>
              <w:rPr>
                <w:rFonts w:eastAsia="Times New Roman"/>
              </w:rPr>
              <w:br/>
              <w:t>Lūdzam ļaut pievienot 2018.gadu pārskatam par uzņēmuma apgrozījumu, lai sniegt labāku priekšstatu par uzņēmuma darbību. </w:t>
            </w:r>
          </w:p>
        </w:tc>
        <w:tc>
          <w:tcPr>
            <w:tcW w:w="4820" w:type="dxa"/>
            <w:shd w:val="clear" w:color="auto" w:fill="auto"/>
          </w:tcPr>
          <w:p w14:paraId="77A30EE0" w14:textId="77777777" w:rsidR="006C392C" w:rsidRDefault="006C392C" w:rsidP="00E24A9D">
            <w:pPr>
              <w:rPr>
                <w:bCs/>
                <w:szCs w:val="24"/>
              </w:rPr>
            </w:pPr>
            <w:r>
              <w:rPr>
                <w:szCs w:val="24"/>
              </w:rPr>
              <w:lastRenderedPageBreak/>
              <w:t xml:space="preserve">Skaidrojam, ka sarunu procedūras nolikuma 4.2.punktā noteiktā kvalifikācijas prasība nosaka, ka </w:t>
            </w:r>
            <w:r w:rsidRPr="00AA6E21">
              <w:rPr>
                <w:szCs w:val="24"/>
              </w:rPr>
              <w:t xml:space="preserve">pretendenta gada vidējais neto finanšu apgrozījums </w:t>
            </w:r>
            <w:r>
              <w:rPr>
                <w:szCs w:val="24"/>
              </w:rPr>
              <w:t xml:space="preserve">ir jānorāda par iepriekšējiem trīs pārskata gadiem, proti, </w:t>
            </w:r>
            <w:r w:rsidRPr="005B1187">
              <w:rPr>
                <w:szCs w:val="24"/>
              </w:rPr>
              <w:t>2019., 2020. un 2021.gad</w:t>
            </w:r>
            <w:r>
              <w:rPr>
                <w:szCs w:val="24"/>
              </w:rPr>
              <w:t xml:space="preserve">u, </w:t>
            </w:r>
            <w:r w:rsidRPr="00AA6E21">
              <w:rPr>
                <w:szCs w:val="24"/>
              </w:rPr>
              <w:t>par kuriem atbilstoši normatīvo aktu prasībām sagatavoti, apstiprināti un iesniegti konsolidētā gada pārskati Valsts ieņēmumu dienestam</w:t>
            </w:r>
            <w:r w:rsidRPr="00AA6E21">
              <w:rPr>
                <w:bCs/>
                <w:szCs w:val="24"/>
              </w:rPr>
              <w:t>.</w:t>
            </w:r>
          </w:p>
          <w:p w14:paraId="457EA195" w14:textId="77777777" w:rsidR="006C392C" w:rsidRPr="00C54841" w:rsidRDefault="006C392C" w:rsidP="00E24A9D">
            <w:pPr>
              <w:rPr>
                <w:szCs w:val="24"/>
              </w:rPr>
            </w:pPr>
            <w:r>
              <w:rPr>
                <w:bCs/>
                <w:szCs w:val="24"/>
              </w:rPr>
              <w:t>Grozījumi sarunu procedūras nolikumā netiek veikti.</w:t>
            </w:r>
          </w:p>
        </w:tc>
      </w:tr>
    </w:tbl>
    <w:bookmarkEnd w:id="0"/>
    <w:p w14:paraId="5D6C2CB1" w14:textId="77777777" w:rsidR="006C392C" w:rsidRPr="00C20434" w:rsidRDefault="006C392C" w:rsidP="006C392C">
      <w:pPr>
        <w:ind w:left="-851" w:right="-1050"/>
        <w:rPr>
          <w:rFonts w:ascii="Arial" w:hAnsi="Arial" w:cs="Arial"/>
        </w:rPr>
      </w:pPr>
      <w:r w:rsidRPr="0016688A">
        <w:rPr>
          <w:i/>
          <w:iCs/>
          <w:sz w:val="20"/>
          <w:szCs w:val="20"/>
          <w:vertAlign w:val="superscript"/>
        </w:rPr>
        <w:t>*</w:t>
      </w:r>
      <w:r w:rsidRPr="0016688A">
        <w:rPr>
          <w:rFonts w:eastAsia="Calibri"/>
          <w:i/>
          <w:iCs/>
          <w:sz w:val="20"/>
          <w:szCs w:val="20"/>
        </w:rPr>
        <w:t>N</w:t>
      </w:r>
      <w:r w:rsidRPr="0016688A">
        <w:rPr>
          <w:i/>
          <w:iCs/>
          <w:sz w:val="20"/>
          <w:szCs w:val="20"/>
        </w:rPr>
        <w:t>orādām, ka ieinteresētais piegādātājs iesniedza jautājum</w:t>
      </w:r>
      <w:r>
        <w:rPr>
          <w:i/>
          <w:iCs/>
          <w:sz w:val="20"/>
          <w:szCs w:val="20"/>
        </w:rPr>
        <w:t>u</w:t>
      </w:r>
      <w:r w:rsidRPr="0016688A">
        <w:rPr>
          <w:i/>
          <w:iCs/>
          <w:sz w:val="20"/>
          <w:szCs w:val="20"/>
        </w:rPr>
        <w:t xml:space="preserve"> par sarunu procedūras nolikuma prasībām krievu valodā un bez attiecīga tulkojuma latviešu valodā, neievērojot </w:t>
      </w:r>
      <w:r w:rsidRPr="0016688A">
        <w:rPr>
          <w:i/>
          <w:iCs/>
          <w:color w:val="333333"/>
          <w:sz w:val="20"/>
          <w:szCs w:val="20"/>
        </w:rPr>
        <w:t xml:space="preserve">sarunu procedūras nolikuma 1.7.3.punkta nosacījumus. </w:t>
      </w:r>
      <w:r>
        <w:rPr>
          <w:i/>
          <w:iCs/>
          <w:color w:val="333333"/>
          <w:sz w:val="20"/>
          <w:szCs w:val="20"/>
        </w:rPr>
        <w:t xml:space="preserve">Jautājuma </w:t>
      </w:r>
      <w:r w:rsidRPr="0016688A">
        <w:rPr>
          <w:i/>
          <w:iCs/>
          <w:sz w:val="20"/>
          <w:szCs w:val="20"/>
        </w:rPr>
        <w:t xml:space="preserve">iesniegšana svešvalodā un bez tulkojuma kopumā var ietekmēt izpratni par ieinteresētā piegādātāja sniegtās informācijas saturu, līdz ar to - arī izsmeļošas un kvalitatīvas atbildes sagatavošanu. Vēršam uzmanību, ka pasūtītājam nav pienākums sniegt atbildes neatbilstoši iesniegtiem informācijas pieprasījumiem. Attiecīgi, šajā gadījumā, atbilde tiek sniegta, taču </w:t>
      </w:r>
      <w:r w:rsidRPr="0016688A">
        <w:rPr>
          <w:b/>
          <w:bCs/>
          <w:i/>
          <w:iCs/>
          <w:sz w:val="20"/>
          <w:szCs w:val="20"/>
          <w:u w:val="single"/>
        </w:rPr>
        <w:t>pasūtītājs neatbild par saņemt</w:t>
      </w:r>
      <w:r>
        <w:rPr>
          <w:b/>
          <w:bCs/>
          <w:i/>
          <w:iCs/>
          <w:sz w:val="20"/>
          <w:szCs w:val="20"/>
          <w:u w:val="single"/>
        </w:rPr>
        <w:t>ā jautājuma</w:t>
      </w:r>
      <w:r w:rsidRPr="0016688A">
        <w:rPr>
          <w:b/>
          <w:bCs/>
          <w:i/>
          <w:iCs/>
          <w:sz w:val="20"/>
          <w:szCs w:val="20"/>
          <w:u w:val="single"/>
        </w:rPr>
        <w:t xml:space="preserve"> tulkojum</w:t>
      </w:r>
      <w:r>
        <w:rPr>
          <w:b/>
          <w:bCs/>
          <w:i/>
          <w:iCs/>
          <w:sz w:val="20"/>
          <w:szCs w:val="20"/>
          <w:u w:val="single"/>
        </w:rPr>
        <w:t>a</w:t>
      </w:r>
      <w:r w:rsidRPr="0016688A">
        <w:rPr>
          <w:b/>
          <w:bCs/>
          <w:i/>
          <w:iCs/>
          <w:sz w:val="20"/>
          <w:szCs w:val="20"/>
          <w:u w:val="single"/>
        </w:rPr>
        <w:t xml:space="preserve"> pareizību</w:t>
      </w:r>
      <w:r>
        <w:rPr>
          <w:b/>
          <w:bCs/>
          <w:szCs w:val="24"/>
          <w:u w:val="single"/>
        </w:rPr>
        <w:t>.</w:t>
      </w:r>
    </w:p>
    <w:p w14:paraId="19FB7B2A" w14:textId="77777777" w:rsidR="006C392C" w:rsidRDefault="006C392C" w:rsidP="006C392C">
      <w:pPr>
        <w:rPr>
          <w:rFonts w:ascii="Arial" w:hAnsi="Arial" w:cs="Arial"/>
        </w:rPr>
      </w:pPr>
    </w:p>
    <w:p w14:paraId="2D81CEDF" w14:textId="77777777" w:rsidR="006C392C" w:rsidRPr="00C20434" w:rsidRDefault="006C392C">
      <w:pPr>
        <w:rPr>
          <w:rFonts w:ascii="Arial" w:hAnsi="Arial" w:cs="Arial"/>
        </w:rPr>
      </w:pPr>
    </w:p>
    <w:sectPr w:rsidR="006C392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2C"/>
    <w:rsid w:val="003204EA"/>
    <w:rsid w:val="006C392C"/>
    <w:rsid w:val="0098236C"/>
    <w:rsid w:val="00C20434"/>
    <w:rsid w:val="00F522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9D96"/>
  <w15:chartTrackingRefBased/>
  <w15:docId w15:val="{C2657C02-3ABE-4B18-ABD9-036B2951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C392C"/>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6C392C"/>
    <w:pPr>
      <w:ind w:left="720"/>
      <w:contextualSpacing/>
      <w:jc w:val="left"/>
    </w:pPr>
    <w:rPr>
      <w:rFonts w:eastAsia="Calibri"/>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6C392C"/>
    <w:rPr>
      <w:rFonts w:ascii="Times New Roman" w:eastAsia="Calibri"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2332</Words>
  <Characters>1330</Characters>
  <Application>Microsoft Office Word</Application>
  <DocSecurity>0</DocSecurity>
  <Lines>11</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2023-03-27T10:39:00Z</dcterms:created>
  <dcterms:modified xsi:type="dcterms:W3CDTF">2023-03-27T10:39:00Z</dcterms:modified>
</cp:coreProperties>
</file>