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BAC" w:rsidRDefault="00BD5BAC" w:rsidP="00BD5BAC">
      <w:pPr>
        <w:jc w:val="right"/>
        <w:rPr>
          <w:b/>
          <w:i/>
          <w:szCs w:val="24"/>
        </w:rPr>
      </w:pPr>
      <w:bookmarkStart w:id="0" w:name="_Hlk42600420"/>
    </w:p>
    <w:p w:rsidR="00BD5BAC" w:rsidRPr="00622302" w:rsidRDefault="00BD5BAC" w:rsidP="00BD5BAC">
      <w:pPr>
        <w:tabs>
          <w:tab w:val="left" w:pos="3760"/>
        </w:tabs>
        <w:ind w:left="-284" w:right="-808" w:firstLine="4395"/>
        <w:jc w:val="right"/>
        <w:rPr>
          <w:rFonts w:eastAsia="Calibri"/>
          <w:i/>
          <w:szCs w:val="24"/>
          <w:lang w:eastAsia="lv-LV"/>
        </w:rPr>
      </w:pPr>
      <w:r w:rsidRPr="00622302">
        <w:rPr>
          <w:rFonts w:eastAsia="Calibri"/>
          <w:i/>
          <w:szCs w:val="24"/>
          <w:lang w:eastAsia="lv-LV"/>
        </w:rPr>
        <w:t>APSTIPRINĀTS:</w:t>
      </w:r>
    </w:p>
    <w:p w:rsidR="00BD5BAC" w:rsidRPr="00622302" w:rsidRDefault="00BD5BAC" w:rsidP="00BD5BAC">
      <w:pPr>
        <w:tabs>
          <w:tab w:val="left" w:pos="3760"/>
        </w:tabs>
        <w:ind w:right="-808"/>
        <w:jc w:val="right"/>
        <w:rPr>
          <w:rFonts w:eastAsia="Calibri"/>
          <w:i/>
          <w:szCs w:val="24"/>
          <w:lang w:eastAsia="lv-LV"/>
        </w:rPr>
      </w:pPr>
      <w:r w:rsidRPr="00622302">
        <w:rPr>
          <w:rFonts w:eastAsia="Calibri"/>
          <w:i/>
          <w:szCs w:val="24"/>
          <w:lang w:eastAsia="lv-LV"/>
        </w:rPr>
        <w:t xml:space="preserve">ar iepirkuma </w:t>
      </w:r>
      <w:r w:rsidRPr="00671793">
        <w:rPr>
          <w:rFonts w:eastAsia="Calibri"/>
          <w:i/>
          <w:szCs w:val="24"/>
          <w:lang w:eastAsia="lv-LV"/>
        </w:rPr>
        <w:t xml:space="preserve">komisijas </w:t>
      </w:r>
      <w:r w:rsidRPr="00671793">
        <w:rPr>
          <w:rFonts w:eastAsia="Arial Unicode MS"/>
          <w:i/>
          <w:szCs w:val="24"/>
          <w:lang w:eastAsia="lv-LV"/>
        </w:rPr>
        <w:t>20</w:t>
      </w:r>
      <w:r>
        <w:rPr>
          <w:rFonts w:eastAsia="Arial Unicode MS"/>
          <w:i/>
          <w:szCs w:val="24"/>
          <w:lang w:eastAsia="lv-LV"/>
        </w:rPr>
        <w:t>20</w:t>
      </w:r>
      <w:r w:rsidRPr="00671793">
        <w:rPr>
          <w:rFonts w:eastAsia="Arial Unicode MS"/>
          <w:i/>
          <w:szCs w:val="24"/>
          <w:lang w:eastAsia="lv-LV"/>
        </w:rPr>
        <w:t xml:space="preserve">.gada </w:t>
      </w:r>
      <w:r>
        <w:rPr>
          <w:rFonts w:eastAsia="Arial Unicode MS"/>
          <w:i/>
          <w:szCs w:val="24"/>
          <w:lang w:eastAsia="lv-LV"/>
        </w:rPr>
        <w:t>3</w:t>
      </w:r>
      <w:r w:rsidRPr="00671793">
        <w:rPr>
          <w:rFonts w:eastAsia="Arial Unicode MS"/>
          <w:i/>
          <w:szCs w:val="24"/>
          <w:lang w:eastAsia="lv-LV"/>
        </w:rPr>
        <w:t>.</w:t>
      </w:r>
      <w:r>
        <w:rPr>
          <w:rFonts w:eastAsia="Arial Unicode MS"/>
          <w:i/>
          <w:szCs w:val="24"/>
          <w:lang w:eastAsia="lv-LV"/>
        </w:rPr>
        <w:t>jū</w:t>
      </w:r>
      <w:r w:rsidR="001D283E">
        <w:rPr>
          <w:rFonts w:eastAsia="Arial Unicode MS"/>
          <w:i/>
          <w:szCs w:val="24"/>
          <w:lang w:eastAsia="lv-LV"/>
        </w:rPr>
        <w:t>l</w:t>
      </w:r>
      <w:r>
        <w:rPr>
          <w:rFonts w:eastAsia="Arial Unicode MS"/>
          <w:i/>
          <w:szCs w:val="24"/>
          <w:lang w:eastAsia="lv-LV"/>
        </w:rPr>
        <w:t>ij</w:t>
      </w:r>
      <w:r w:rsidRPr="00671793">
        <w:rPr>
          <w:rFonts w:eastAsia="Arial Unicode MS"/>
          <w:i/>
          <w:szCs w:val="24"/>
          <w:lang w:eastAsia="lv-LV"/>
        </w:rPr>
        <w:t>a</w:t>
      </w:r>
      <w:r w:rsidRPr="00622302">
        <w:rPr>
          <w:rFonts w:eastAsia="Arial Unicode MS"/>
          <w:i/>
          <w:szCs w:val="24"/>
          <w:lang w:eastAsia="lv-LV"/>
        </w:rPr>
        <w:t xml:space="preserve"> </w:t>
      </w:r>
    </w:p>
    <w:p w:rsidR="00BD5BAC" w:rsidRDefault="00BD5BAC" w:rsidP="00BD5BAC">
      <w:pPr>
        <w:tabs>
          <w:tab w:val="left" w:pos="3760"/>
        </w:tabs>
        <w:ind w:left="-284" w:right="-808" w:firstLine="4395"/>
        <w:jc w:val="right"/>
        <w:rPr>
          <w:rFonts w:eastAsia="Arial Unicode MS"/>
          <w:i/>
          <w:szCs w:val="24"/>
          <w:lang w:eastAsia="lv-LV"/>
        </w:rPr>
      </w:pPr>
      <w:r w:rsidRPr="00622302">
        <w:rPr>
          <w:rFonts w:eastAsia="Arial Unicode MS"/>
          <w:i/>
          <w:szCs w:val="24"/>
          <w:lang w:eastAsia="lv-LV"/>
        </w:rPr>
        <w:t>sēdes protokolu Nr.</w:t>
      </w:r>
      <w:r w:rsidR="001D283E">
        <w:rPr>
          <w:rFonts w:eastAsia="Arial Unicode MS"/>
          <w:i/>
          <w:szCs w:val="24"/>
          <w:lang w:eastAsia="lv-LV"/>
        </w:rPr>
        <w:t>3</w:t>
      </w:r>
    </w:p>
    <w:p w:rsidR="00BD5BAC" w:rsidRDefault="00BD5BAC" w:rsidP="00BD5BAC">
      <w:pPr>
        <w:jc w:val="center"/>
        <w:rPr>
          <w:b/>
        </w:rPr>
      </w:pPr>
      <w:bookmarkStart w:id="1" w:name="_GoBack"/>
      <w:bookmarkEnd w:id="1"/>
    </w:p>
    <w:p w:rsidR="00BD5BAC" w:rsidRDefault="00BD5BAC" w:rsidP="00BD5BAC">
      <w:pPr>
        <w:jc w:val="center"/>
        <w:rPr>
          <w:b/>
        </w:rPr>
      </w:pPr>
    </w:p>
    <w:p w:rsidR="00BD5BAC" w:rsidRDefault="00BD5BAC" w:rsidP="00BD5BAC">
      <w:pPr>
        <w:jc w:val="center"/>
        <w:rPr>
          <w:b/>
        </w:rPr>
      </w:pPr>
    </w:p>
    <w:p w:rsidR="00BD5BAC" w:rsidRPr="00681731" w:rsidRDefault="00BD5BAC" w:rsidP="00BD5BAC">
      <w:pPr>
        <w:jc w:val="center"/>
        <w:rPr>
          <w:b/>
          <w:szCs w:val="24"/>
        </w:rPr>
      </w:pPr>
      <w:r w:rsidRPr="00681731">
        <w:rPr>
          <w:b/>
        </w:rPr>
        <w:t>VAS </w:t>
      </w:r>
      <w:r w:rsidRPr="00681731">
        <w:rPr>
          <w:b/>
          <w:color w:val="222222"/>
        </w:rPr>
        <w:t>„</w:t>
      </w:r>
      <w:r w:rsidRPr="00681731">
        <w:rPr>
          <w:b/>
        </w:rPr>
        <w:t>Latvijas dzelzceļš</w:t>
      </w:r>
      <w:r w:rsidRPr="00681731">
        <w:rPr>
          <w:b/>
          <w:szCs w:val="24"/>
        </w:rPr>
        <w:t xml:space="preserve">” </w:t>
      </w:r>
    </w:p>
    <w:p w:rsidR="00BD5BAC" w:rsidRPr="00681731" w:rsidRDefault="00BD5BAC" w:rsidP="00BD5BAC">
      <w:pPr>
        <w:ind w:left="142" w:right="-1"/>
        <w:jc w:val="center"/>
        <w:rPr>
          <w:b/>
          <w:szCs w:val="24"/>
        </w:rPr>
      </w:pPr>
      <w:r w:rsidRPr="00681731">
        <w:rPr>
          <w:b/>
          <w:szCs w:val="24"/>
        </w:rPr>
        <w:t>sarunu procedūras ar publikāciju</w:t>
      </w:r>
    </w:p>
    <w:p w:rsidR="00BD5BAC" w:rsidRPr="00B14347" w:rsidRDefault="00BD5BAC" w:rsidP="00BD5BAC">
      <w:pPr>
        <w:jc w:val="center"/>
        <w:rPr>
          <w:b/>
          <w:bCs/>
        </w:rPr>
      </w:pPr>
      <w:r w:rsidRPr="00B14347">
        <w:rPr>
          <w:b/>
          <w:bCs/>
          <w:color w:val="222222"/>
        </w:rPr>
        <w:t>„</w:t>
      </w:r>
      <w:r w:rsidRPr="00B14347">
        <w:rPr>
          <w:b/>
          <w:bCs/>
        </w:rPr>
        <w:t>Lokomotīvju videonovērošanas sistēmu (LVNS) piegāde un uzstādīšana</w:t>
      </w:r>
    </w:p>
    <w:p w:rsidR="00BD5BAC" w:rsidRPr="00B14347" w:rsidRDefault="00BD5BAC" w:rsidP="00BD5BAC">
      <w:pPr>
        <w:jc w:val="center"/>
        <w:rPr>
          <w:b/>
          <w:bCs/>
        </w:rPr>
      </w:pPr>
      <w:r w:rsidRPr="00B14347">
        <w:rPr>
          <w:b/>
          <w:bCs/>
        </w:rPr>
        <w:t xml:space="preserve"> SIA „LDZ CARGO” vajadzībām”</w:t>
      </w:r>
    </w:p>
    <w:p w:rsidR="00BD5BAC" w:rsidRPr="003B77BC" w:rsidRDefault="00BD5BAC" w:rsidP="00BD5BAC">
      <w:pPr>
        <w:jc w:val="center"/>
        <w:rPr>
          <w:rFonts w:eastAsia="Calibri"/>
          <w:szCs w:val="24"/>
        </w:rPr>
      </w:pPr>
      <w:r w:rsidRPr="003B77BC">
        <w:rPr>
          <w:rFonts w:eastAsia="Calibri"/>
          <w:szCs w:val="24"/>
        </w:rPr>
        <w:t>(turpmāk – sarunu procedūra)</w:t>
      </w:r>
    </w:p>
    <w:p w:rsidR="00BD5BAC" w:rsidRPr="00681731" w:rsidRDefault="00BD5BAC" w:rsidP="00BD5BAC">
      <w:pPr>
        <w:ind w:left="284" w:right="282"/>
        <w:rPr>
          <w:rFonts w:eastAsia="Calibri"/>
        </w:rPr>
      </w:pPr>
    </w:p>
    <w:p w:rsidR="00BD5BAC" w:rsidRPr="00681731" w:rsidRDefault="00BD5BAC" w:rsidP="00BD5BAC">
      <w:pPr>
        <w:ind w:left="284" w:right="282"/>
        <w:jc w:val="center"/>
        <w:rPr>
          <w:rFonts w:eastAsia="Calibri"/>
          <w:b/>
        </w:rPr>
      </w:pPr>
      <w:r w:rsidRPr="00681731">
        <w:rPr>
          <w:rFonts w:eastAsia="Calibri"/>
          <w:b/>
        </w:rPr>
        <w:t>Skaidrojums Nr.</w:t>
      </w:r>
      <w:r>
        <w:rPr>
          <w:rFonts w:eastAsia="Calibri"/>
          <w:b/>
        </w:rPr>
        <w:t>2</w:t>
      </w:r>
    </w:p>
    <w:p w:rsidR="00BD5BAC" w:rsidRPr="00291EAB" w:rsidRDefault="00BD5BAC" w:rsidP="00BD5BAC">
      <w:pPr>
        <w:ind w:left="284" w:right="282"/>
        <w:jc w:val="center"/>
        <w:rPr>
          <w:rFonts w:eastAsia="Calibri"/>
          <w:b/>
          <w:highlight w:val="yellow"/>
        </w:rPr>
      </w:pPr>
    </w:p>
    <w:p w:rsidR="00BD5BAC" w:rsidRPr="00291EAB" w:rsidRDefault="00BD5BAC" w:rsidP="00BD5BAC">
      <w:pPr>
        <w:ind w:left="284" w:right="282"/>
        <w:jc w:val="center"/>
        <w:rPr>
          <w:rFonts w:eastAsia="Calibri"/>
          <w:b/>
          <w:highlight w:val="yellow"/>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598"/>
        <w:gridCol w:w="4093"/>
      </w:tblGrid>
      <w:tr w:rsidR="00BD5BAC" w:rsidRPr="00291EAB" w:rsidTr="00BD5BAC">
        <w:trPr>
          <w:trHeight w:val="689"/>
        </w:trPr>
        <w:tc>
          <w:tcPr>
            <w:tcW w:w="642" w:type="dxa"/>
            <w:shd w:val="clear" w:color="auto" w:fill="FFF2CC"/>
            <w:vAlign w:val="center"/>
          </w:tcPr>
          <w:p w:rsidR="00BD5BAC" w:rsidRPr="003D1DBA" w:rsidRDefault="00BD5BAC" w:rsidP="00DB1A0B">
            <w:pPr>
              <w:jc w:val="center"/>
              <w:rPr>
                <w:rFonts w:eastAsia="Calibri"/>
                <w:b/>
                <w:szCs w:val="24"/>
              </w:rPr>
            </w:pPr>
            <w:r w:rsidRPr="003D1DBA">
              <w:rPr>
                <w:rFonts w:eastAsia="Calibri"/>
                <w:b/>
                <w:szCs w:val="24"/>
              </w:rPr>
              <w:t>Nr.</w:t>
            </w:r>
          </w:p>
          <w:p w:rsidR="00BD5BAC" w:rsidRPr="003D1DBA" w:rsidRDefault="00BD5BAC" w:rsidP="00DB1A0B">
            <w:pPr>
              <w:jc w:val="center"/>
              <w:rPr>
                <w:rFonts w:eastAsia="Calibri"/>
                <w:b/>
                <w:szCs w:val="24"/>
              </w:rPr>
            </w:pPr>
            <w:r w:rsidRPr="003D1DBA">
              <w:rPr>
                <w:rFonts w:eastAsia="Calibri"/>
                <w:b/>
                <w:szCs w:val="24"/>
              </w:rPr>
              <w:t>p.k.</w:t>
            </w:r>
          </w:p>
        </w:tc>
        <w:tc>
          <w:tcPr>
            <w:tcW w:w="4598" w:type="dxa"/>
            <w:shd w:val="clear" w:color="auto" w:fill="FFF2CC"/>
            <w:vAlign w:val="center"/>
          </w:tcPr>
          <w:p w:rsidR="00BD5BAC" w:rsidRPr="003D1DBA" w:rsidRDefault="00BD5BAC" w:rsidP="00DB1A0B">
            <w:pPr>
              <w:jc w:val="center"/>
              <w:rPr>
                <w:rFonts w:eastAsia="Calibri"/>
                <w:b/>
                <w:i/>
                <w:szCs w:val="24"/>
              </w:rPr>
            </w:pPr>
            <w:r w:rsidRPr="003D1DBA">
              <w:rPr>
                <w:rFonts w:eastAsia="Calibri"/>
                <w:b/>
                <w:i/>
                <w:szCs w:val="24"/>
              </w:rPr>
              <w:t>Jautājums</w:t>
            </w:r>
          </w:p>
        </w:tc>
        <w:tc>
          <w:tcPr>
            <w:tcW w:w="4093" w:type="dxa"/>
            <w:shd w:val="clear" w:color="auto" w:fill="FFF2CC"/>
            <w:vAlign w:val="center"/>
          </w:tcPr>
          <w:p w:rsidR="00BD5BAC" w:rsidRPr="003D1DBA" w:rsidRDefault="00BD5BAC" w:rsidP="00DB1A0B">
            <w:pPr>
              <w:jc w:val="center"/>
              <w:rPr>
                <w:rFonts w:eastAsia="Calibri"/>
                <w:b/>
                <w:i/>
                <w:szCs w:val="24"/>
              </w:rPr>
            </w:pPr>
            <w:r w:rsidRPr="003D1DBA">
              <w:rPr>
                <w:rFonts w:eastAsia="Calibri"/>
                <w:b/>
                <w:i/>
                <w:szCs w:val="24"/>
              </w:rPr>
              <w:t>Atbilde</w:t>
            </w:r>
          </w:p>
        </w:tc>
      </w:tr>
      <w:tr w:rsidR="00BD5BAC" w:rsidRPr="00291EAB" w:rsidTr="00BD5BAC">
        <w:trPr>
          <w:trHeight w:val="2100"/>
        </w:trPr>
        <w:tc>
          <w:tcPr>
            <w:tcW w:w="642" w:type="dxa"/>
            <w:shd w:val="clear" w:color="auto" w:fill="auto"/>
          </w:tcPr>
          <w:p w:rsidR="00BD5BAC" w:rsidRPr="00A570DB" w:rsidRDefault="00BD5BAC" w:rsidP="00DB1A0B">
            <w:pPr>
              <w:jc w:val="center"/>
              <w:rPr>
                <w:rFonts w:eastAsia="Calibri"/>
                <w:szCs w:val="24"/>
              </w:rPr>
            </w:pPr>
            <w:r w:rsidRPr="00A570DB">
              <w:rPr>
                <w:rFonts w:eastAsia="Calibri"/>
                <w:szCs w:val="24"/>
              </w:rPr>
              <w:t>1.</w:t>
            </w:r>
          </w:p>
        </w:tc>
        <w:tc>
          <w:tcPr>
            <w:tcW w:w="4598" w:type="dxa"/>
            <w:shd w:val="clear" w:color="auto" w:fill="auto"/>
          </w:tcPr>
          <w:p w:rsidR="00BD5BAC" w:rsidRPr="00A570DB" w:rsidRDefault="00BD5BAC" w:rsidP="00DB1A0B">
            <w:pPr>
              <w:rPr>
                <w:szCs w:val="24"/>
                <w:lang w:eastAsia="lv-LV"/>
              </w:rPr>
            </w:pPr>
            <w:r w:rsidRPr="00A570DB">
              <w:rPr>
                <w:szCs w:val="24"/>
                <w:lang w:eastAsia="lv-LV"/>
              </w:rPr>
              <w:t xml:space="preserve">Lūdzam pagarināt sarunu procedūras ar publikāciju </w:t>
            </w:r>
            <w:r w:rsidRPr="00A570DB">
              <w:rPr>
                <w:color w:val="222222"/>
              </w:rPr>
              <w:t>„</w:t>
            </w:r>
            <w:r w:rsidRPr="00A570DB">
              <w:rPr>
                <w:szCs w:val="24"/>
                <w:lang w:eastAsia="lv-LV"/>
              </w:rPr>
              <w:t xml:space="preserve">Lokomotīvju videonovērošanas sistēmu (LVNS) piegāde un uzstādīšana SIA </w:t>
            </w:r>
            <w:r w:rsidRPr="00A570DB">
              <w:rPr>
                <w:color w:val="222222"/>
              </w:rPr>
              <w:t>„</w:t>
            </w:r>
            <w:r w:rsidRPr="00A570DB">
              <w:rPr>
                <w:szCs w:val="24"/>
                <w:lang w:eastAsia="lv-LV"/>
              </w:rPr>
              <w:t>LDZ CARGO” vajadzībām” piedāvājuma iesniegšanas termiņu līdz 2020.gada 16.jūlijam, lai sagatavotu kvalitatīvu un prasībām atbilstošu piedāvājumu.</w:t>
            </w:r>
          </w:p>
        </w:tc>
        <w:tc>
          <w:tcPr>
            <w:tcW w:w="4093" w:type="dxa"/>
            <w:shd w:val="clear" w:color="auto" w:fill="auto"/>
          </w:tcPr>
          <w:p w:rsidR="00BD5BAC" w:rsidRDefault="00BD5BAC" w:rsidP="00DB1A0B">
            <w:pPr>
              <w:rPr>
                <w:rFonts w:eastAsia="Calibri"/>
                <w:szCs w:val="24"/>
              </w:rPr>
            </w:pPr>
            <w:r w:rsidRPr="00BE4CA6">
              <w:rPr>
                <w:rFonts w:eastAsia="Calibri"/>
                <w:szCs w:val="24"/>
              </w:rPr>
              <w:t>Skat. sarunu procedūras nolikuma Grozījumus Nr.1</w:t>
            </w:r>
            <w:r>
              <w:rPr>
                <w:rFonts w:eastAsia="Calibri"/>
                <w:szCs w:val="24"/>
              </w:rPr>
              <w:t>.</w:t>
            </w:r>
          </w:p>
          <w:p w:rsidR="00BD5BAC" w:rsidRDefault="00BD5BAC" w:rsidP="00DB1A0B">
            <w:pPr>
              <w:rPr>
                <w:szCs w:val="24"/>
              </w:rPr>
            </w:pPr>
          </w:p>
          <w:p w:rsidR="00BD5BAC" w:rsidRPr="003D1DBA" w:rsidRDefault="00BD5BAC" w:rsidP="00DB1A0B">
            <w:pPr>
              <w:rPr>
                <w:rFonts w:eastAsia="Calibri"/>
                <w:szCs w:val="24"/>
              </w:rPr>
            </w:pPr>
            <w:r w:rsidRPr="006F2759">
              <w:rPr>
                <w:szCs w:val="24"/>
              </w:rPr>
              <w:t xml:space="preserve">Piedāvājumu iesniegšanas termiņš </w:t>
            </w:r>
            <w:r>
              <w:rPr>
                <w:szCs w:val="24"/>
              </w:rPr>
              <w:t>tiek</w:t>
            </w:r>
            <w:r w:rsidRPr="006F2759">
              <w:rPr>
                <w:szCs w:val="24"/>
              </w:rPr>
              <w:t xml:space="preserve"> pagarināts līdz </w:t>
            </w:r>
            <w:r w:rsidRPr="00687364">
              <w:rPr>
                <w:b/>
                <w:bCs/>
                <w:szCs w:val="24"/>
              </w:rPr>
              <w:t xml:space="preserve">2020.gada </w:t>
            </w:r>
            <w:r>
              <w:rPr>
                <w:b/>
                <w:bCs/>
                <w:szCs w:val="24"/>
              </w:rPr>
              <w:t>21</w:t>
            </w:r>
            <w:r w:rsidRPr="00687364">
              <w:rPr>
                <w:b/>
                <w:bCs/>
                <w:szCs w:val="24"/>
              </w:rPr>
              <w:t>.</w:t>
            </w:r>
            <w:r>
              <w:rPr>
                <w:b/>
                <w:bCs/>
                <w:szCs w:val="24"/>
              </w:rPr>
              <w:t>jūli</w:t>
            </w:r>
            <w:r w:rsidRPr="00687364">
              <w:rPr>
                <w:b/>
                <w:bCs/>
                <w:szCs w:val="24"/>
              </w:rPr>
              <w:t>jam</w:t>
            </w:r>
            <w:r>
              <w:rPr>
                <w:szCs w:val="24"/>
              </w:rPr>
              <w:t>.</w:t>
            </w:r>
          </w:p>
        </w:tc>
      </w:tr>
      <w:tr w:rsidR="00BD5BAC" w:rsidRPr="00291EAB" w:rsidTr="00BD5BAC">
        <w:trPr>
          <w:trHeight w:val="2977"/>
        </w:trPr>
        <w:tc>
          <w:tcPr>
            <w:tcW w:w="642" w:type="dxa"/>
            <w:shd w:val="clear" w:color="auto" w:fill="auto"/>
          </w:tcPr>
          <w:p w:rsidR="00BD5BAC" w:rsidRPr="00A570DB" w:rsidRDefault="00BD5BAC" w:rsidP="00DB1A0B">
            <w:pPr>
              <w:jc w:val="center"/>
              <w:rPr>
                <w:rFonts w:eastAsia="Calibri"/>
                <w:szCs w:val="24"/>
              </w:rPr>
            </w:pPr>
            <w:r w:rsidRPr="00A570DB">
              <w:rPr>
                <w:rFonts w:eastAsia="Calibri"/>
                <w:szCs w:val="24"/>
              </w:rPr>
              <w:t>2.</w:t>
            </w:r>
          </w:p>
        </w:tc>
        <w:tc>
          <w:tcPr>
            <w:tcW w:w="4598" w:type="dxa"/>
            <w:shd w:val="clear" w:color="auto" w:fill="auto"/>
          </w:tcPr>
          <w:p w:rsidR="00BD5BAC" w:rsidRPr="00A570DB" w:rsidRDefault="00BD5BAC" w:rsidP="00DB1A0B">
            <w:r w:rsidRPr="00A570DB">
              <w:t xml:space="preserve">Mūsu uzņēmums 2019.gadā veiksmīgi aprīkoja ar videonovērošanas sistēmu LDZ priekšnieka dīzeļvilcienu DR1A-405 un ir ieinteresēts piedalīties sarunu procedūrā ar publikāciju </w:t>
            </w:r>
            <w:r w:rsidRPr="00A570DB">
              <w:rPr>
                <w:color w:val="222222"/>
              </w:rPr>
              <w:t>„</w:t>
            </w:r>
            <w:r w:rsidRPr="00A570DB">
              <w:t>Lokomotīvju videonovērošanas sistēmu (LVNS) piegāde un uzstādīšana SIA „LDZ CARGO” vajadzībām”.</w:t>
            </w:r>
          </w:p>
          <w:p w:rsidR="00BD5BAC" w:rsidRPr="00A570DB" w:rsidRDefault="00BD5BAC" w:rsidP="00DB1A0B">
            <w:r w:rsidRPr="00A570DB">
              <w:t>Sakarā ar to, ka nolikuma tehniskajā specifikācijā norādītās prasības atbilst konkrētam ražotājam, lūdzam Jūs pagarināt piedāvājuma iesniegšanas termiņu līdz 2020.gada 21.jūlijam, lai mēs varētu pārstrādāt un pārveidot jau esošo videonovērošanas sistēmu saskaņā ar Jūsu prasībām.</w:t>
            </w:r>
          </w:p>
        </w:tc>
        <w:tc>
          <w:tcPr>
            <w:tcW w:w="4093" w:type="dxa"/>
            <w:shd w:val="clear" w:color="auto" w:fill="auto"/>
          </w:tcPr>
          <w:p w:rsidR="00BD5BAC" w:rsidRDefault="00BD5BAC" w:rsidP="00DB1A0B">
            <w:pPr>
              <w:rPr>
                <w:rFonts w:eastAsia="Calibri"/>
                <w:szCs w:val="24"/>
              </w:rPr>
            </w:pPr>
            <w:r w:rsidRPr="00BE4CA6">
              <w:rPr>
                <w:rFonts w:eastAsia="Calibri"/>
                <w:szCs w:val="24"/>
              </w:rPr>
              <w:t>Skat. sarunu procedūras nolikuma Grozījumus Nr.1</w:t>
            </w:r>
            <w:r>
              <w:rPr>
                <w:rFonts w:eastAsia="Calibri"/>
                <w:szCs w:val="24"/>
              </w:rPr>
              <w:t>.</w:t>
            </w:r>
          </w:p>
          <w:p w:rsidR="00BD5BAC" w:rsidRDefault="00BD5BAC" w:rsidP="00DB1A0B">
            <w:pPr>
              <w:rPr>
                <w:szCs w:val="24"/>
              </w:rPr>
            </w:pPr>
          </w:p>
          <w:p w:rsidR="00BD5BAC" w:rsidRPr="00BE4CA6" w:rsidRDefault="00BD5BAC" w:rsidP="00DB1A0B">
            <w:pPr>
              <w:rPr>
                <w:rFonts w:eastAsia="Calibri"/>
                <w:szCs w:val="24"/>
              </w:rPr>
            </w:pPr>
            <w:r w:rsidRPr="006F2759">
              <w:rPr>
                <w:szCs w:val="24"/>
              </w:rPr>
              <w:t xml:space="preserve">Piedāvājumu iesniegšanas termiņš </w:t>
            </w:r>
            <w:r>
              <w:rPr>
                <w:szCs w:val="24"/>
              </w:rPr>
              <w:t>tiek</w:t>
            </w:r>
            <w:r w:rsidRPr="006F2759">
              <w:rPr>
                <w:szCs w:val="24"/>
              </w:rPr>
              <w:t xml:space="preserve"> pagarināts līdz </w:t>
            </w:r>
            <w:r w:rsidRPr="00687364">
              <w:rPr>
                <w:b/>
                <w:bCs/>
                <w:szCs w:val="24"/>
              </w:rPr>
              <w:t xml:space="preserve">2020.gada </w:t>
            </w:r>
            <w:r>
              <w:rPr>
                <w:b/>
                <w:bCs/>
                <w:szCs w:val="24"/>
              </w:rPr>
              <w:t>21</w:t>
            </w:r>
            <w:r w:rsidRPr="00687364">
              <w:rPr>
                <w:b/>
                <w:bCs/>
                <w:szCs w:val="24"/>
              </w:rPr>
              <w:t>.</w:t>
            </w:r>
            <w:r>
              <w:rPr>
                <w:b/>
                <w:bCs/>
                <w:szCs w:val="24"/>
              </w:rPr>
              <w:t>jūli</w:t>
            </w:r>
            <w:r w:rsidRPr="00687364">
              <w:rPr>
                <w:b/>
                <w:bCs/>
                <w:szCs w:val="24"/>
              </w:rPr>
              <w:t>jam</w:t>
            </w:r>
            <w:r>
              <w:rPr>
                <w:szCs w:val="24"/>
              </w:rPr>
              <w:t>.</w:t>
            </w:r>
          </w:p>
        </w:tc>
      </w:tr>
      <w:bookmarkEnd w:id="0"/>
    </w:tbl>
    <w:p w:rsidR="00BD5BAC" w:rsidRDefault="00BD5BAC" w:rsidP="00BD5BAC">
      <w:pPr>
        <w:jc w:val="right"/>
        <w:rPr>
          <w:b/>
          <w:i/>
          <w:szCs w:val="24"/>
          <w:highlight w:val="yellow"/>
        </w:rPr>
      </w:pPr>
    </w:p>
    <w:p w:rsidR="00BD5BAC" w:rsidRDefault="00BD5BAC" w:rsidP="00BD5BAC">
      <w:pPr>
        <w:jc w:val="right"/>
        <w:rPr>
          <w:b/>
          <w:i/>
          <w:szCs w:val="24"/>
          <w:highlight w:val="yellow"/>
        </w:rPr>
      </w:pPr>
    </w:p>
    <w:p w:rsidR="00BD5BAC" w:rsidRDefault="00BD5BAC" w:rsidP="00BD5BAC">
      <w:pPr>
        <w:jc w:val="right"/>
        <w:rPr>
          <w:b/>
          <w:i/>
          <w:szCs w:val="24"/>
          <w:highlight w:val="yellow"/>
        </w:rPr>
      </w:pPr>
    </w:p>
    <w:p w:rsidR="0098236C" w:rsidRPr="00C20434" w:rsidRDefault="0098236C">
      <w:pPr>
        <w:rPr>
          <w:rFonts w:ascii="Arial" w:hAnsi="Arial" w:cs="Arial"/>
        </w:rPr>
      </w:pPr>
    </w:p>
    <w:sectPr w:rsidR="0098236C" w:rsidRPr="00C20434" w:rsidSect="00BD5BAC">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AC"/>
    <w:rsid w:val="001D283E"/>
    <w:rsid w:val="003204EA"/>
    <w:rsid w:val="0098236C"/>
    <w:rsid w:val="00BD5BAC"/>
    <w:rsid w:val="00C20434"/>
    <w:rsid w:val="00DC4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9972"/>
  <w15:chartTrackingRefBased/>
  <w15:docId w15:val="{CC05EBB4-8305-4082-B8BD-9E012FD2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5BAC"/>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509</Characters>
  <Application>Microsoft Office Word</Application>
  <DocSecurity>0</DocSecurity>
  <Lines>4</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2020-07-03T06:14:00Z</dcterms:created>
  <dcterms:modified xsi:type="dcterms:W3CDTF">2020-07-03T06:15:00Z</dcterms:modified>
</cp:coreProperties>
</file>