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D5F1" w14:textId="77777777" w:rsidR="00BA65A1" w:rsidRPr="002A4749" w:rsidRDefault="00BA65A1" w:rsidP="00BA65A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0E996B93" w14:textId="77777777" w:rsidR="00BA65A1" w:rsidRPr="002A4749" w:rsidRDefault="00BA65A1" w:rsidP="00BA65A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2EC0A4E5" w14:textId="77777777" w:rsidR="00BA65A1" w:rsidRPr="002A4749" w:rsidRDefault="00BA65A1" w:rsidP="00BA65A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7.jūnija 4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2F82AB67" w14:textId="77777777" w:rsidR="00BA65A1" w:rsidRPr="00E20C14" w:rsidRDefault="00BA65A1" w:rsidP="00BA65A1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42F64976" w14:textId="77777777" w:rsidR="00BA65A1" w:rsidRDefault="00BA65A1" w:rsidP="00BA65A1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>
        <w:rPr>
          <w:rFonts w:ascii="Arial" w:hAnsi="Arial" w:cs="Arial"/>
          <w:b/>
          <w:sz w:val="22"/>
          <w:szCs w:val="22"/>
          <w:lang w:val="lv-LV"/>
        </w:rPr>
        <w:t>Telpu uzkopšanas pakalpojumi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  <w:r>
        <w:rPr>
          <w:rFonts w:ascii="Arial" w:hAnsi="Arial" w:cs="Arial"/>
          <w:b/>
          <w:sz w:val="22"/>
          <w:szCs w:val="22"/>
          <w:lang w:val="lv-LV"/>
        </w:rPr>
        <w:t>,</w:t>
      </w:r>
    </w:p>
    <w:p w14:paraId="7D6D12CC" w14:textId="77777777" w:rsidR="00BA65A1" w:rsidRPr="00880D07" w:rsidRDefault="00BA65A1" w:rsidP="00BA65A1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80D07">
        <w:rPr>
          <w:rFonts w:ascii="Arial" w:hAnsi="Arial" w:cs="Arial"/>
          <w:sz w:val="22"/>
          <w:szCs w:val="22"/>
          <w:lang w:val="lv-LV"/>
        </w:rPr>
        <w:t>iepirkuma identifikācijas nr. LDZ 2021/30–</w:t>
      </w:r>
      <w:proofErr w:type="spellStart"/>
      <w:r w:rsidRPr="00880D07">
        <w:rPr>
          <w:rFonts w:ascii="Arial" w:hAnsi="Arial" w:cs="Arial"/>
          <w:sz w:val="22"/>
          <w:szCs w:val="22"/>
          <w:lang w:val="lv-LV"/>
        </w:rPr>
        <w:t>IBz</w:t>
      </w:r>
      <w:proofErr w:type="spellEnd"/>
    </w:p>
    <w:p w14:paraId="5C7721A1" w14:textId="77777777" w:rsidR="00BA65A1" w:rsidRDefault="00BA65A1" w:rsidP="00BA65A1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(turpmāk – sarunu procedūra)</w:t>
      </w:r>
    </w:p>
    <w:p w14:paraId="615211B3" w14:textId="77777777" w:rsidR="00BA65A1" w:rsidRDefault="00BA65A1" w:rsidP="00BA65A1">
      <w:pPr>
        <w:spacing w:after="160" w:line="259" w:lineRule="auto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247DF5AB" w14:textId="77777777" w:rsidR="00BA65A1" w:rsidRDefault="00BA65A1" w:rsidP="00BA65A1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E62BB">
        <w:rPr>
          <w:rFonts w:ascii="Arial" w:hAnsi="Arial" w:cs="Arial"/>
          <w:b/>
          <w:smallCaps/>
          <w:sz w:val="22"/>
          <w:szCs w:val="22"/>
          <w:lang w:val="lv-LV"/>
        </w:rPr>
        <w:t>Skaidrojums</w:t>
      </w:r>
      <w:r>
        <w:rPr>
          <w:rFonts w:ascii="Arial" w:hAnsi="Arial" w:cs="Arial"/>
          <w:b/>
          <w:sz w:val="22"/>
          <w:szCs w:val="22"/>
          <w:lang w:val="lv-LV"/>
        </w:rPr>
        <w:t xml:space="preserve"> Nr.2</w:t>
      </w:r>
    </w:p>
    <w:p w14:paraId="0F465B58" w14:textId="77777777" w:rsidR="00BA65A1" w:rsidRPr="008E100F" w:rsidRDefault="00BA65A1" w:rsidP="00BA65A1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>s 04.06.2021</w:t>
      </w:r>
      <w:r w:rsidRPr="0021184E">
        <w:rPr>
          <w:rFonts w:ascii="Arial" w:hAnsi="Arial" w:cs="Arial"/>
          <w:bCs/>
          <w:color w:val="auto"/>
          <w:sz w:val="22"/>
          <w:szCs w:val="22"/>
          <w:lang w:val="lv-LV"/>
        </w:rPr>
        <w:t>.</w:t>
      </w:r>
      <w:r w:rsidRPr="008E100F"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192AF79E" w14:textId="77777777" w:rsidR="00BA65A1" w:rsidRDefault="00BA65A1" w:rsidP="00BA65A1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21"/>
        <w:gridCol w:w="4399"/>
        <w:gridCol w:w="4678"/>
      </w:tblGrid>
      <w:tr w:rsidR="00BA65A1" w:rsidRPr="00AE62BB" w14:paraId="748A283A" w14:textId="77777777" w:rsidTr="00C4545D">
        <w:tc>
          <w:tcPr>
            <w:tcW w:w="421" w:type="dxa"/>
          </w:tcPr>
          <w:p w14:paraId="206A282A" w14:textId="77777777" w:rsidR="00BA65A1" w:rsidRPr="00AE62BB" w:rsidRDefault="00BA65A1" w:rsidP="00C4545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4399" w:type="dxa"/>
          </w:tcPr>
          <w:p w14:paraId="23939CD7" w14:textId="77777777" w:rsidR="00BA65A1" w:rsidRPr="00AE62BB" w:rsidRDefault="00BA65A1" w:rsidP="00C4545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AE62BB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678" w:type="dxa"/>
          </w:tcPr>
          <w:p w14:paraId="70F4A5D1" w14:textId="77777777" w:rsidR="00BA65A1" w:rsidRPr="00AE62BB" w:rsidRDefault="00BA65A1" w:rsidP="00C4545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</w:pPr>
            <w:r w:rsidRPr="00AE62BB"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>Atbilde</w:t>
            </w:r>
          </w:p>
        </w:tc>
      </w:tr>
      <w:tr w:rsidR="00BA65A1" w:rsidRPr="00571CFA" w14:paraId="3F2B87EA" w14:textId="77777777" w:rsidTr="00C4545D">
        <w:tc>
          <w:tcPr>
            <w:tcW w:w="421" w:type="dxa"/>
          </w:tcPr>
          <w:p w14:paraId="73362916" w14:textId="77777777" w:rsidR="00BA65A1" w:rsidRPr="00571CFA" w:rsidRDefault="00BA65A1" w:rsidP="00C4545D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4399" w:type="dxa"/>
          </w:tcPr>
          <w:p w14:paraId="7FD3201B" w14:textId="77777777" w:rsidR="00BA65A1" w:rsidRPr="00571CFA" w:rsidRDefault="00BA65A1" w:rsidP="00C4545D">
            <w:pPr>
              <w:rPr>
                <w:sz w:val="22"/>
                <w:szCs w:val="22"/>
                <w:lang w:val="lv-LV" w:bidi="lo-LA"/>
              </w:rPr>
            </w:pPr>
            <w:r w:rsidRPr="00571CFA">
              <w:rPr>
                <w:rFonts w:ascii="Arial" w:hAnsi="Arial" w:cs="Arial"/>
                <w:sz w:val="22"/>
                <w:szCs w:val="22"/>
                <w:lang w:val="lv-LV"/>
              </w:rPr>
              <w:t>“Lūdzu norādiet, vai nolikuma 1.10.2.punktā noteiktā kredītiestādes garantija ir noformējama papīra oriģinālā, neiešūta piedāvājumā, vai to var to iesniegt kā elektroniskā dokumenta kopiju?”</w:t>
            </w:r>
          </w:p>
        </w:tc>
        <w:tc>
          <w:tcPr>
            <w:tcW w:w="4678" w:type="dxa"/>
          </w:tcPr>
          <w:p w14:paraId="6183BA65" w14:textId="77777777" w:rsidR="00BA65A1" w:rsidRPr="00571CFA" w:rsidRDefault="00BA65A1" w:rsidP="00C4545D">
            <w:pPr>
              <w:ind w:firstLine="183"/>
              <w:jc w:val="both"/>
              <w:rPr>
                <w:rFonts w:ascii="Arial" w:hAnsi="Arial" w:cs="Arial"/>
                <w:sz w:val="22"/>
                <w:szCs w:val="22"/>
                <w:lang w:val="lv-LV" w:eastAsia="en-US" w:bidi="lo-LA"/>
              </w:rPr>
            </w:pPr>
            <w:r w:rsidRPr="00571CFA">
              <w:rPr>
                <w:rFonts w:ascii="Arial" w:hAnsi="Arial" w:cs="Arial"/>
                <w:sz w:val="22"/>
                <w:szCs w:val="22"/>
                <w:lang w:val="lv-LV" w:eastAsia="en-US"/>
              </w:rPr>
              <w:t>Mēs pieņemam ar drošu elektronisku parakstu sagatavotu</w:t>
            </w:r>
            <w:r w:rsidRPr="00571CFA">
              <w:rPr>
                <w:rFonts w:ascii="Arial" w:hAnsi="Arial" w:cs="Arial"/>
                <w:sz w:val="22"/>
                <w:szCs w:val="22"/>
                <w:lang w:val="lv-LV"/>
              </w:rPr>
              <w:t xml:space="preserve"> piedāvājuma nodrošinājumu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ko var iesniegt, nosūtot uz pasūtītāja norādīto e-pastu. Šajā gadījumā </w:t>
            </w:r>
            <w:r w:rsidRPr="00571CFA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pretendentam jāapzinās, ka netiek nodrošināta dokumenta satura </w:t>
            </w:r>
            <w:proofErr w:type="spellStart"/>
            <w:r w:rsidRPr="00571CFA">
              <w:rPr>
                <w:rFonts w:ascii="Arial" w:hAnsi="Arial" w:cs="Arial"/>
                <w:sz w:val="22"/>
                <w:szCs w:val="22"/>
                <w:lang w:val="lv-LV" w:eastAsia="en-US"/>
              </w:rPr>
              <w:t>neredzamība</w:t>
            </w:r>
            <w:proofErr w:type="spellEnd"/>
            <w:r w:rsidRPr="00571CFA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 (konfidencialitāte), jo 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dokumenta </w:t>
            </w:r>
            <w:r w:rsidRPr="00571CFA">
              <w:rPr>
                <w:rFonts w:ascii="Arial" w:hAnsi="Arial" w:cs="Arial"/>
                <w:sz w:val="22"/>
                <w:szCs w:val="22"/>
                <w:lang w:val="lv-LV" w:eastAsia="en-US"/>
              </w:rPr>
              <w:t>teksts ir redzams uzreiz pēc atsūtīšanas. Mūsu dokumentu pārvaldības sistēma nespēj nodrošināt to, ka piedāvājums tiktu atvērts tikai norādītajā laikā.</w:t>
            </w:r>
          </w:p>
          <w:p w14:paraId="1592A802" w14:textId="77777777" w:rsidR="00BA65A1" w:rsidRPr="00571CFA" w:rsidRDefault="00BA65A1" w:rsidP="00C4545D">
            <w:pPr>
              <w:pStyle w:val="Default"/>
              <w:ind w:firstLine="136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</w:p>
          <w:p w14:paraId="36441D1C" w14:textId="77777777" w:rsidR="00BA65A1" w:rsidRPr="00571CFA" w:rsidRDefault="00BA65A1" w:rsidP="00C4545D">
            <w:pPr>
              <w:pStyle w:val="Default"/>
              <w:ind w:firstLine="136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</w:p>
          <w:p w14:paraId="6E1D807A" w14:textId="77777777" w:rsidR="00BA65A1" w:rsidRDefault="00BA65A1" w:rsidP="00C4545D">
            <w:pPr>
              <w:pStyle w:val="Default"/>
              <w:ind w:firstLine="136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Ņemot vērā minēto, sarunu procedūrā p</w:t>
            </w:r>
            <w:r w:rsidRPr="00571CFA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iedāvājuma nodrošinājumu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var iesniegt</w:t>
            </w:r>
            <w:r w:rsidRPr="00571CFA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kā kredītiestādes garantiju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:</w:t>
            </w:r>
          </w:p>
          <w:p w14:paraId="7CD6C932" w14:textId="77777777" w:rsidR="00BA65A1" w:rsidRDefault="00BA65A1" w:rsidP="00C4545D">
            <w:pPr>
              <w:pStyle w:val="Default"/>
              <w:ind w:firstLine="136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1) oriģinālu papīra formātā (pievienojot piedāvājuma dokumentiem, bet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necauršujot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) vai</w:t>
            </w:r>
          </w:p>
          <w:p w14:paraId="56F16D30" w14:textId="1C4D524F" w:rsidR="00BA65A1" w:rsidRDefault="00BA65A1" w:rsidP="00C4545D">
            <w:pPr>
              <w:pStyle w:val="Default"/>
              <w:ind w:firstLine="175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2) </w:t>
            </w:r>
            <w:bookmarkStart w:id="0" w:name="_Hlk73708492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oriģinālu </w:t>
            </w:r>
            <w:r w:rsidRPr="00571CFA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e-</w:t>
            </w:r>
            <w:proofErr w:type="spellStart"/>
            <w:r w:rsidRPr="00571CFA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doc</w:t>
            </w:r>
            <w:proofErr w:type="spellEnd"/>
            <w:r w:rsidRPr="00571CFA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formātā parakstītu ar drošu elektronisko parakstu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. Šajā gadījumā dokuments jānosūta ne vēlāk kā 15 minūtes pēc sarunu procedūras nolikumā noteiktā piedāvājumu atvēršanas laika (</w:t>
            </w:r>
            <w:r w:rsidR="00B20463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nolikuma </w:t>
            </w:r>
            <w:bookmarkStart w:id="1" w:name="_GoBack"/>
            <w:bookmarkEnd w:id="1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1.5.2.punkts) </w:t>
            </w:r>
            <w:bookmarkEnd w:id="0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uz e-pastu: iveta.dementjeva@ldz.lv.</w:t>
            </w:r>
          </w:p>
          <w:p w14:paraId="06F6A52E" w14:textId="77777777" w:rsidR="00BA65A1" w:rsidRPr="00AB6C0E" w:rsidRDefault="00BA65A1" w:rsidP="00C4545D">
            <w:pPr>
              <w:pStyle w:val="Default"/>
              <w:ind w:firstLine="175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Skat.arī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Grozījumus Nr.2)</w:t>
            </w:r>
          </w:p>
        </w:tc>
      </w:tr>
    </w:tbl>
    <w:p w14:paraId="404F2C26" w14:textId="77777777" w:rsidR="00112653" w:rsidRPr="00BA65A1" w:rsidRDefault="00112653" w:rsidP="00BA65A1"/>
    <w:sectPr w:rsidR="00112653" w:rsidRPr="00BA6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A1"/>
    <w:rsid w:val="00112653"/>
    <w:rsid w:val="001647DE"/>
    <w:rsid w:val="00191E6A"/>
    <w:rsid w:val="00571CFA"/>
    <w:rsid w:val="007A58A1"/>
    <w:rsid w:val="00814AB2"/>
    <w:rsid w:val="008330D1"/>
    <w:rsid w:val="00AB6C0E"/>
    <w:rsid w:val="00B20463"/>
    <w:rsid w:val="00BA65A1"/>
    <w:rsid w:val="00D71942"/>
    <w:rsid w:val="00D81CB4"/>
    <w:rsid w:val="00DD2D30"/>
    <w:rsid w:val="00E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29B96"/>
  <w15:chartTrackingRefBased/>
  <w15:docId w15:val="{032959EF-3F05-4220-A4C9-4BB512C4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11265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42"/>
    <w:rPr>
      <w:rFonts w:ascii="Segoe UI" w:eastAsia="Times New Roman" w:hAnsi="Segoe UI" w:cs="Segoe UI"/>
      <w:sz w:val="18"/>
      <w:szCs w:val="18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2021-06-04T10:33:00Z</dcterms:created>
  <dcterms:modified xsi:type="dcterms:W3CDTF">2021-06-07T11:16:00Z</dcterms:modified>
</cp:coreProperties>
</file>