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60" w:rsidRPr="004C0B27" w:rsidRDefault="009A2860" w:rsidP="009A2860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2860" w:rsidRPr="00973032" w:rsidRDefault="009A2860" w:rsidP="009A2860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3032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9A2860" w:rsidRPr="004C0B27" w:rsidRDefault="009A2860" w:rsidP="009A2860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3032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973032">
        <w:rPr>
          <w:rFonts w:ascii="Times New Roman" w:eastAsia="Arial Unicode MS" w:hAnsi="Times New Roman" w:cs="Times New Roman"/>
          <w:i/>
          <w:sz w:val="24"/>
        </w:rPr>
        <w:t xml:space="preserve">2019.gada </w:t>
      </w:r>
      <w:r w:rsidRPr="00973032">
        <w:rPr>
          <w:rFonts w:ascii="Times New Roman" w:eastAsia="Arial Unicode MS" w:hAnsi="Times New Roman" w:cs="Times New Roman"/>
          <w:i/>
          <w:sz w:val="24"/>
        </w:rPr>
        <w:t>15</w:t>
      </w:r>
      <w:r w:rsidRPr="00973032">
        <w:rPr>
          <w:rFonts w:ascii="Times New Roman" w:eastAsia="Arial Unicode MS" w:hAnsi="Times New Roman" w:cs="Times New Roman"/>
          <w:i/>
          <w:sz w:val="24"/>
        </w:rPr>
        <w:t>.oktobra</w:t>
      </w:r>
      <w:r w:rsidRPr="004C0B27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:rsidR="009A2860" w:rsidRPr="004C0B27" w:rsidRDefault="009A2860" w:rsidP="009A2860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0B27">
        <w:rPr>
          <w:rFonts w:ascii="Times New Roman" w:eastAsia="Arial Unicode MS" w:hAnsi="Times New Roman" w:cs="Times New Roman"/>
          <w:i/>
          <w:sz w:val="24"/>
        </w:rPr>
        <w:t>sēdes protokolu Nr.</w:t>
      </w:r>
      <w:r>
        <w:rPr>
          <w:rFonts w:ascii="Times New Roman" w:eastAsia="Arial Unicode MS" w:hAnsi="Times New Roman" w:cs="Times New Roman"/>
          <w:i/>
          <w:sz w:val="24"/>
        </w:rPr>
        <w:t>4</w:t>
      </w:r>
    </w:p>
    <w:p w:rsidR="009A2860" w:rsidRPr="004C0B27" w:rsidRDefault="009A2860" w:rsidP="009A2860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860" w:rsidRPr="004C0B27" w:rsidRDefault="009A2860" w:rsidP="009A2860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2860" w:rsidRPr="00023C61" w:rsidRDefault="009A2860" w:rsidP="009A2860">
      <w:pPr>
        <w:pStyle w:val="Title"/>
        <w:rPr>
          <w:b/>
          <w:sz w:val="24"/>
          <w:szCs w:val="24"/>
        </w:rPr>
      </w:pPr>
      <w:r w:rsidRPr="00023C61">
        <w:rPr>
          <w:b/>
          <w:sz w:val="24"/>
          <w:szCs w:val="24"/>
        </w:rPr>
        <w:t>VAS „Latvijas dzelzceļš”</w:t>
      </w:r>
    </w:p>
    <w:p w:rsidR="009A2860" w:rsidRPr="00023C61" w:rsidRDefault="009A2860" w:rsidP="009A2860">
      <w:pPr>
        <w:pStyle w:val="Title"/>
        <w:rPr>
          <w:b/>
          <w:sz w:val="24"/>
          <w:szCs w:val="24"/>
        </w:rPr>
      </w:pPr>
      <w:r w:rsidRPr="00023C61">
        <w:rPr>
          <w:b/>
          <w:sz w:val="24"/>
          <w:szCs w:val="24"/>
        </w:rPr>
        <w:t>Atklātā konkursa</w:t>
      </w:r>
    </w:p>
    <w:p w:rsidR="009A2860" w:rsidRPr="00023C61" w:rsidRDefault="009A2860" w:rsidP="009A2860">
      <w:pPr>
        <w:pStyle w:val="Title"/>
        <w:rPr>
          <w:b/>
          <w:color w:val="222222"/>
          <w:szCs w:val="28"/>
        </w:rPr>
      </w:pPr>
      <w:r w:rsidRPr="00023C61">
        <w:rPr>
          <w:b/>
          <w:color w:val="222222"/>
          <w:szCs w:val="28"/>
        </w:rPr>
        <w:t>„Kombinētas gaitas sliežu defektoskopijas automobiļa piegāde”</w:t>
      </w:r>
    </w:p>
    <w:p w:rsidR="009A2860" w:rsidRPr="00023C61" w:rsidRDefault="009A2860" w:rsidP="009A2860">
      <w:pPr>
        <w:pStyle w:val="Title"/>
        <w:rPr>
          <w:b/>
          <w:sz w:val="24"/>
          <w:szCs w:val="24"/>
        </w:rPr>
      </w:pPr>
      <w:r w:rsidRPr="00023C61">
        <w:rPr>
          <w:b/>
          <w:sz w:val="24"/>
          <w:szCs w:val="24"/>
        </w:rPr>
        <w:t xml:space="preserve">(iepirkuma identifikācijas Nr. </w:t>
      </w:r>
      <w:r w:rsidRPr="00023C61">
        <w:rPr>
          <w:b/>
          <w:bCs/>
          <w:sz w:val="24"/>
          <w:szCs w:val="24"/>
        </w:rPr>
        <w:t>LDZ 2019/19-IB</w:t>
      </w:r>
      <w:r w:rsidRPr="00023C61">
        <w:rPr>
          <w:b/>
          <w:sz w:val="24"/>
          <w:szCs w:val="24"/>
        </w:rPr>
        <w:t>)</w:t>
      </w:r>
    </w:p>
    <w:p w:rsidR="009A2860" w:rsidRPr="004C0B27" w:rsidRDefault="009A2860" w:rsidP="009A2860">
      <w:pPr>
        <w:pStyle w:val="Title"/>
        <w:rPr>
          <w:b/>
          <w:sz w:val="24"/>
          <w:szCs w:val="24"/>
        </w:rPr>
      </w:pPr>
    </w:p>
    <w:p w:rsidR="009A2860" w:rsidRPr="004C0B27" w:rsidRDefault="009A2860" w:rsidP="009A2860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  <w:r w:rsidRPr="004C0B27">
        <w:rPr>
          <w:rFonts w:ascii="Times New Roman" w:hAnsi="Times New Roman" w:cs="Times New Roman"/>
          <w:b/>
          <w:sz w:val="24"/>
        </w:rPr>
        <w:t>SKAIDROJUMS Nr.</w:t>
      </w:r>
      <w:r>
        <w:rPr>
          <w:rFonts w:ascii="Times New Roman" w:hAnsi="Times New Roman" w:cs="Times New Roman"/>
          <w:b/>
          <w:sz w:val="24"/>
        </w:rPr>
        <w:t>2</w:t>
      </w:r>
    </w:p>
    <w:p w:rsidR="009A2860" w:rsidRPr="004C0B27" w:rsidRDefault="009A2860" w:rsidP="009A2860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704"/>
        <w:gridCol w:w="5103"/>
        <w:gridCol w:w="4541"/>
      </w:tblGrid>
      <w:tr w:rsidR="009A2860" w:rsidRPr="004C0B27" w:rsidTr="00A00105">
        <w:trPr>
          <w:jc w:val="center"/>
        </w:trPr>
        <w:tc>
          <w:tcPr>
            <w:tcW w:w="704" w:type="dxa"/>
            <w:shd w:val="clear" w:color="auto" w:fill="FFF2CC"/>
            <w:vAlign w:val="center"/>
          </w:tcPr>
          <w:p w:rsidR="009A2860" w:rsidRPr="004C0B27" w:rsidRDefault="009A2860" w:rsidP="00A0010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4C0B27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</w:t>
            </w:r>
          </w:p>
          <w:p w:rsidR="009A2860" w:rsidRPr="004C0B27" w:rsidRDefault="009A2860" w:rsidP="00A0010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4C0B27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p.k.</w:t>
            </w:r>
          </w:p>
        </w:tc>
        <w:tc>
          <w:tcPr>
            <w:tcW w:w="5103" w:type="dxa"/>
            <w:shd w:val="clear" w:color="auto" w:fill="FFF2CC"/>
            <w:vAlign w:val="center"/>
          </w:tcPr>
          <w:p w:rsidR="009A2860" w:rsidRPr="004C0B27" w:rsidRDefault="009A2860" w:rsidP="00A00105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4C0B27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541" w:type="dxa"/>
            <w:shd w:val="clear" w:color="auto" w:fill="FFF2CC" w:themeFill="accent4" w:themeFillTint="33"/>
            <w:vAlign w:val="center"/>
          </w:tcPr>
          <w:p w:rsidR="009A2860" w:rsidRPr="004C0B27" w:rsidRDefault="009A2860" w:rsidP="00A00105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4C0B27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F36C8C" w:rsidRPr="004C0B27" w:rsidTr="00ED3A34">
        <w:trPr>
          <w:trHeight w:val="1408"/>
          <w:jc w:val="center"/>
        </w:trPr>
        <w:tc>
          <w:tcPr>
            <w:tcW w:w="704" w:type="dxa"/>
          </w:tcPr>
          <w:p w:rsidR="00F36C8C" w:rsidRPr="004C0B27" w:rsidRDefault="00F36C8C" w:rsidP="00A0010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103" w:type="dxa"/>
          </w:tcPr>
          <w:p w:rsidR="00F36C8C" w:rsidRPr="00F36C8C" w:rsidRDefault="00F36C8C" w:rsidP="00F36C8C">
            <w:pPr>
              <w:rPr>
                <w:rFonts w:ascii="Times New Roman" w:hAnsi="Times New Roman" w:cs="Times New Roman"/>
              </w:rPr>
            </w:pPr>
            <w:r w:rsidRPr="00F36C8C">
              <w:rPr>
                <w:rFonts w:ascii="Times New Roman" w:hAnsi="Times New Roman" w:cs="Times New Roman"/>
              </w:rPr>
              <w:t>Nolikum</w:t>
            </w:r>
            <w:r w:rsidR="00F6644F">
              <w:rPr>
                <w:rFonts w:ascii="Times New Roman" w:hAnsi="Times New Roman" w:cs="Times New Roman"/>
              </w:rPr>
              <w:t xml:space="preserve">a </w:t>
            </w:r>
            <w:r w:rsidRPr="00F36C8C">
              <w:rPr>
                <w:rFonts w:ascii="Times New Roman" w:hAnsi="Times New Roman" w:cs="Times New Roman"/>
              </w:rPr>
              <w:t>2.2</w:t>
            </w:r>
            <w:r w:rsidRPr="00444933">
              <w:rPr>
                <w:rFonts w:ascii="Times New Roman" w:hAnsi="Times New Roman" w:cs="Times New Roman"/>
              </w:rPr>
              <w:t>.3.</w:t>
            </w:r>
            <w:r w:rsidR="00F6644F">
              <w:rPr>
                <w:rFonts w:ascii="Times New Roman" w:hAnsi="Times New Roman" w:cs="Times New Roman"/>
              </w:rPr>
              <w:t>punktā</w:t>
            </w:r>
            <w:r w:rsidRPr="00444933">
              <w:rPr>
                <w:rFonts w:ascii="Times New Roman" w:hAnsi="Times New Roman" w:cs="Times New Roman"/>
              </w:rPr>
              <w:t xml:space="preserve"> ir</w:t>
            </w:r>
            <w:r w:rsidR="00F6644F">
              <w:rPr>
                <w:rFonts w:ascii="Times New Roman" w:hAnsi="Times New Roman" w:cs="Times New Roman"/>
              </w:rPr>
              <w:t xml:space="preserve"> minēts</w:t>
            </w:r>
            <w:r w:rsidRPr="00444933">
              <w:rPr>
                <w:rFonts w:ascii="Times New Roman" w:hAnsi="Times New Roman" w:cs="Times New Roman"/>
              </w:rPr>
              <w:t xml:space="preserve">: </w:t>
            </w:r>
            <w:r w:rsidR="00444933" w:rsidRPr="00444933">
              <w:rPr>
                <w:rFonts w:ascii="Times New Roman" w:hAnsi="Times New Roman" w:cs="Times New Roman"/>
                <w:color w:val="222222"/>
                <w:szCs w:val="24"/>
              </w:rPr>
              <w:t>„</w:t>
            </w:r>
            <w:r w:rsidRPr="00444933">
              <w:rPr>
                <w:rFonts w:ascii="Times New Roman" w:hAnsi="Times New Roman" w:cs="Times New Roman"/>
                <w:szCs w:val="24"/>
              </w:rPr>
              <w:t>Iesniedzot dokumentus citā valodā, pievieno apliecinātu tulkojumu latviešu valodā</w:t>
            </w:r>
            <w:r w:rsidRPr="00444933">
              <w:rPr>
                <w:rFonts w:ascii="Times New Roman" w:hAnsi="Times New Roman" w:cs="Times New Roman"/>
                <w:i/>
                <w:iCs/>
                <w:szCs w:val="24"/>
              </w:rPr>
              <w:t xml:space="preserve">. </w:t>
            </w:r>
            <w:r w:rsidRPr="00444933">
              <w:rPr>
                <w:rFonts w:ascii="Times New Roman" w:hAnsi="Times New Roman" w:cs="Times New Roman"/>
                <w:szCs w:val="24"/>
              </w:rPr>
              <w:t>Par</w:t>
            </w:r>
            <w:r w:rsidRPr="00F36C8C">
              <w:rPr>
                <w:rFonts w:ascii="Times New Roman" w:hAnsi="Times New Roman" w:cs="Times New Roman"/>
                <w:szCs w:val="24"/>
              </w:rPr>
              <w:t xml:space="preserve"> dokumentu tulkojuma atbilstību oriģinālam atbild pretendents.</w:t>
            </w:r>
            <w:r w:rsidR="00444933">
              <w:rPr>
                <w:rFonts w:ascii="Times New Roman" w:hAnsi="Times New Roman" w:cs="Times New Roman"/>
                <w:szCs w:val="24"/>
              </w:rPr>
              <w:t>”</w:t>
            </w:r>
          </w:p>
          <w:p w:rsidR="00F36C8C" w:rsidRPr="00F36C8C" w:rsidRDefault="00F36C8C" w:rsidP="00444933">
            <w:pPr>
              <w:rPr>
                <w:rFonts w:ascii="Times New Roman" w:hAnsi="Times New Roman" w:cs="Times New Roman"/>
              </w:rPr>
            </w:pPr>
            <w:r w:rsidRPr="00F36C8C">
              <w:rPr>
                <w:rFonts w:ascii="Times New Roman" w:hAnsi="Times New Roman" w:cs="Times New Roman"/>
                <w:szCs w:val="24"/>
              </w:rPr>
              <w:t>Ja daž</w:t>
            </w:r>
            <w:r w:rsidR="00444933">
              <w:rPr>
                <w:rFonts w:ascii="Times New Roman" w:hAnsi="Times New Roman" w:cs="Times New Roman"/>
                <w:szCs w:val="24"/>
              </w:rPr>
              <w:t>ā</w:t>
            </w:r>
            <w:r w:rsidRPr="00F36C8C">
              <w:rPr>
                <w:rFonts w:ascii="Times New Roman" w:hAnsi="Times New Roman" w:cs="Times New Roman"/>
                <w:szCs w:val="24"/>
              </w:rPr>
              <w:t>di dokumenti (izziņas, vēst</w:t>
            </w:r>
            <w:r w:rsidR="00444933">
              <w:rPr>
                <w:rFonts w:ascii="Times New Roman" w:hAnsi="Times New Roman" w:cs="Times New Roman"/>
                <w:szCs w:val="24"/>
              </w:rPr>
              <w:t>u</w:t>
            </w:r>
            <w:r w:rsidRPr="00F36C8C">
              <w:rPr>
                <w:rFonts w:ascii="Times New Roman" w:hAnsi="Times New Roman" w:cs="Times New Roman"/>
                <w:szCs w:val="24"/>
              </w:rPr>
              <w:t>les</w:t>
            </w:r>
            <w:r w:rsidR="0044493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36C8C">
              <w:rPr>
                <w:rFonts w:ascii="Times New Roman" w:hAnsi="Times New Roman" w:cs="Times New Roman"/>
                <w:szCs w:val="24"/>
              </w:rPr>
              <w:t>u.t.t</w:t>
            </w:r>
            <w:r w:rsidR="00444933">
              <w:rPr>
                <w:rFonts w:ascii="Times New Roman" w:hAnsi="Times New Roman" w:cs="Times New Roman"/>
                <w:szCs w:val="24"/>
              </w:rPr>
              <w:t>.</w:t>
            </w:r>
            <w:r w:rsidRPr="00F36C8C">
              <w:rPr>
                <w:rFonts w:ascii="Times New Roman" w:hAnsi="Times New Roman" w:cs="Times New Roman"/>
                <w:szCs w:val="24"/>
              </w:rPr>
              <w:t>) ir krievu valod</w:t>
            </w:r>
            <w:r w:rsidR="00444933">
              <w:rPr>
                <w:rFonts w:ascii="Times New Roman" w:hAnsi="Times New Roman" w:cs="Times New Roman"/>
                <w:szCs w:val="24"/>
              </w:rPr>
              <w:t>ā</w:t>
            </w:r>
            <w:r w:rsidRPr="00F36C8C">
              <w:rPr>
                <w:rFonts w:ascii="Times New Roman" w:hAnsi="Times New Roman" w:cs="Times New Roman"/>
                <w:szCs w:val="24"/>
              </w:rPr>
              <w:t xml:space="preserve"> un jau</w:t>
            </w:r>
            <w:r w:rsidR="00444933">
              <w:rPr>
                <w:rFonts w:ascii="Times New Roman" w:hAnsi="Times New Roman" w:cs="Times New Roman"/>
                <w:szCs w:val="24"/>
              </w:rPr>
              <w:t xml:space="preserve"> ir</w:t>
            </w:r>
            <w:r w:rsidRPr="00F36C8C">
              <w:rPr>
                <w:rFonts w:ascii="Times New Roman" w:hAnsi="Times New Roman" w:cs="Times New Roman"/>
                <w:szCs w:val="24"/>
              </w:rPr>
              <w:t xml:space="preserve"> p</w:t>
            </w:r>
            <w:r w:rsidR="00444933">
              <w:rPr>
                <w:rFonts w:ascii="Times New Roman" w:hAnsi="Times New Roman" w:cs="Times New Roman"/>
                <w:szCs w:val="24"/>
              </w:rPr>
              <w:t>ā</w:t>
            </w:r>
            <w:r w:rsidRPr="00F36C8C">
              <w:rPr>
                <w:rFonts w:ascii="Times New Roman" w:hAnsi="Times New Roman" w:cs="Times New Roman"/>
                <w:szCs w:val="24"/>
              </w:rPr>
              <w:t>rtulkoti uz latviešu valodu Maskavā un tulkojums ir apliecināts ar Krievijas Federācijas not</w:t>
            </w:r>
            <w:r w:rsidR="00444933">
              <w:rPr>
                <w:rFonts w:ascii="Times New Roman" w:hAnsi="Times New Roman" w:cs="Times New Roman"/>
                <w:szCs w:val="24"/>
              </w:rPr>
              <w:t>ā</w:t>
            </w:r>
            <w:r w:rsidRPr="00F36C8C">
              <w:rPr>
                <w:rFonts w:ascii="Times New Roman" w:hAnsi="Times New Roman" w:cs="Times New Roman"/>
                <w:szCs w:val="24"/>
              </w:rPr>
              <w:t>ru</w:t>
            </w:r>
            <w:r w:rsidR="00444933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F36C8C">
              <w:rPr>
                <w:rFonts w:ascii="Times New Roman" w:hAnsi="Times New Roman" w:cs="Times New Roman"/>
                <w:szCs w:val="24"/>
              </w:rPr>
              <w:t>t</w:t>
            </w:r>
            <w:r w:rsidR="00444933">
              <w:rPr>
                <w:rFonts w:ascii="Times New Roman" w:hAnsi="Times New Roman" w:cs="Times New Roman"/>
                <w:szCs w:val="24"/>
              </w:rPr>
              <w:t>ā</w:t>
            </w:r>
            <w:r w:rsidRPr="00F36C8C">
              <w:rPr>
                <w:rFonts w:ascii="Times New Roman" w:hAnsi="Times New Roman" w:cs="Times New Roman"/>
                <w:szCs w:val="24"/>
              </w:rPr>
              <w:t>da veida tulkojums der šim konkursam?</w:t>
            </w:r>
          </w:p>
        </w:tc>
        <w:tc>
          <w:tcPr>
            <w:tcW w:w="4541" w:type="dxa"/>
          </w:tcPr>
          <w:p w:rsidR="00637DF3" w:rsidRPr="00910641" w:rsidRDefault="00637DF3" w:rsidP="00910641">
            <w:pPr>
              <w:contextualSpacing/>
              <w:rPr>
                <w:rFonts w:ascii="Times New Roman" w:hAnsi="Times New Roman" w:cs="Times New Roman"/>
              </w:rPr>
            </w:pPr>
            <w:r w:rsidRPr="00910641">
              <w:rPr>
                <w:rFonts w:ascii="Times New Roman" w:hAnsi="Times New Roman" w:cs="Times New Roman"/>
              </w:rPr>
              <w:t xml:space="preserve">Norādām, ka </w:t>
            </w:r>
            <w:r w:rsidR="00A142A3" w:rsidRPr="00910641">
              <w:rPr>
                <w:rFonts w:ascii="Times New Roman" w:hAnsi="Times New Roman" w:cs="Times New Roman"/>
              </w:rPr>
              <w:t xml:space="preserve">ieinteresētais piegādātājs var </w:t>
            </w:r>
            <w:r w:rsidR="00910641" w:rsidRPr="00910641">
              <w:rPr>
                <w:rFonts w:ascii="Times New Roman" w:hAnsi="Times New Roman" w:cs="Times New Roman"/>
              </w:rPr>
              <w:t xml:space="preserve">iesniegt </w:t>
            </w:r>
            <w:r w:rsidR="00A142A3" w:rsidRPr="00910641">
              <w:rPr>
                <w:rFonts w:ascii="Times New Roman" w:hAnsi="Times New Roman" w:cs="Times New Roman"/>
              </w:rPr>
              <w:t>minētājā veidā apliecinātus dokumentu</w:t>
            </w:r>
            <w:r w:rsidR="00A45D65" w:rsidRPr="00910641">
              <w:rPr>
                <w:rFonts w:ascii="Times New Roman" w:hAnsi="Times New Roman" w:cs="Times New Roman"/>
              </w:rPr>
              <w:t xml:space="preserve"> tulkojum</w:t>
            </w:r>
            <w:r w:rsidR="00910641" w:rsidRPr="00910641">
              <w:rPr>
                <w:rFonts w:ascii="Times New Roman" w:hAnsi="Times New Roman" w:cs="Times New Roman"/>
              </w:rPr>
              <w:t>u</w:t>
            </w:r>
            <w:r w:rsidR="00A45D65" w:rsidRPr="00910641">
              <w:rPr>
                <w:rFonts w:ascii="Times New Roman" w:hAnsi="Times New Roman" w:cs="Times New Roman"/>
              </w:rPr>
              <w:t>s latviešu valodā.</w:t>
            </w:r>
          </w:p>
          <w:p w:rsidR="008B00F6" w:rsidRPr="00973032" w:rsidRDefault="005A36DD" w:rsidP="00910641">
            <w:pPr>
              <w:contextualSpacing/>
              <w:rPr>
                <w:rFonts w:ascii="Times New Roman" w:eastAsia="Batang" w:hAnsi="Times New Roman" w:cs="Times New Roman"/>
              </w:rPr>
            </w:pPr>
            <w:r w:rsidRPr="00910641">
              <w:rPr>
                <w:rFonts w:ascii="Times New Roman" w:hAnsi="Times New Roman" w:cs="Times New Roman"/>
              </w:rPr>
              <w:t>Vienlaikus n</w:t>
            </w:r>
            <w:r w:rsidR="008B00F6" w:rsidRPr="00910641">
              <w:rPr>
                <w:rFonts w:ascii="Times New Roman" w:hAnsi="Times New Roman" w:cs="Times New Roman"/>
              </w:rPr>
              <w:t>orād</w:t>
            </w:r>
            <w:r w:rsidRPr="00910641">
              <w:rPr>
                <w:rFonts w:ascii="Times New Roman" w:hAnsi="Times New Roman" w:cs="Times New Roman"/>
              </w:rPr>
              <w:t>ā</w:t>
            </w:r>
            <w:r w:rsidR="008B00F6" w:rsidRPr="00910641">
              <w:rPr>
                <w:rFonts w:ascii="Times New Roman" w:hAnsi="Times New Roman" w:cs="Times New Roman"/>
              </w:rPr>
              <w:t xml:space="preserve">m, ka saskaņā ar atklāta konkursa nolikuma </w:t>
            </w:r>
            <w:r w:rsidR="00057660" w:rsidRPr="00910641">
              <w:rPr>
                <w:rFonts w:ascii="Times New Roman" w:hAnsi="Times New Roman" w:cs="Times New Roman"/>
              </w:rPr>
              <w:t>2.2.4.punktu p</w:t>
            </w:r>
            <w:r w:rsidR="008B00F6" w:rsidRPr="00910641">
              <w:rPr>
                <w:rFonts w:ascii="Times New Roman" w:hAnsi="Times New Roman" w:cs="Times New Roman"/>
              </w:rPr>
              <w:t>iedāvājuma un tam pievienoto dokumentu izstrādāšanā</w:t>
            </w:r>
            <w:r w:rsidR="00057660" w:rsidRPr="00910641">
              <w:rPr>
                <w:rFonts w:ascii="Times New Roman" w:hAnsi="Times New Roman" w:cs="Times New Roman"/>
              </w:rPr>
              <w:t xml:space="preserve"> </w:t>
            </w:r>
            <w:r w:rsidR="008B00F6" w:rsidRPr="00910641">
              <w:rPr>
                <w:rFonts w:ascii="Times New Roman" w:hAnsi="Times New Roman" w:cs="Times New Roman"/>
              </w:rPr>
              <w:t>ieinteresētaj</w:t>
            </w:r>
            <w:r w:rsidR="00057660" w:rsidRPr="00910641">
              <w:rPr>
                <w:rFonts w:ascii="Times New Roman" w:hAnsi="Times New Roman" w:cs="Times New Roman"/>
              </w:rPr>
              <w:t>a</w:t>
            </w:r>
            <w:r w:rsidR="008B00F6" w:rsidRPr="00910641">
              <w:rPr>
                <w:rFonts w:ascii="Times New Roman" w:hAnsi="Times New Roman" w:cs="Times New Roman"/>
              </w:rPr>
              <w:t>m piegādātāj</w:t>
            </w:r>
            <w:r w:rsidR="00057660" w:rsidRPr="00910641">
              <w:rPr>
                <w:rFonts w:ascii="Times New Roman" w:hAnsi="Times New Roman" w:cs="Times New Roman"/>
              </w:rPr>
              <w:t>a</w:t>
            </w:r>
            <w:r w:rsidR="008B00F6" w:rsidRPr="00910641">
              <w:rPr>
                <w:rFonts w:ascii="Times New Roman" w:hAnsi="Times New Roman" w:cs="Times New Roman"/>
              </w:rPr>
              <w:t xml:space="preserve">m jāievēro </w:t>
            </w:r>
            <w:r w:rsidR="008B00F6" w:rsidRPr="00910641">
              <w:rPr>
                <w:rFonts w:ascii="Times New Roman" w:eastAsia="Batang" w:hAnsi="Times New Roman" w:cs="Times New Roman"/>
              </w:rPr>
              <w:t>Ministru kabineta 2018.gada 4.septembra noteikumi Nr.558 „Dokumentu izstrādāšanas un noformēšanas kārtība” prasības (attiecībā uz dokumentu parakstīšanu, atvasinājumu, tulkojumu noformēšanu, apliecināšanu u.tml.)</w:t>
            </w:r>
            <w:r w:rsidR="008B00F6" w:rsidRPr="00910641">
              <w:rPr>
                <w:rFonts w:ascii="Times New Roman" w:hAnsi="Times New Roman" w:cs="Times New Roman"/>
                <w:bCs/>
              </w:rPr>
              <w:t xml:space="preserve"> un Ministru kabineta 2000.gada 22.augusta noteikumi Nr.291 </w:t>
            </w:r>
            <w:r w:rsidR="008B00F6" w:rsidRPr="00910641">
              <w:rPr>
                <w:rFonts w:ascii="Times New Roman" w:hAnsi="Times New Roman" w:cs="Times New Roman"/>
              </w:rPr>
              <w:t>„</w:t>
            </w:r>
            <w:r w:rsidR="008B00F6" w:rsidRPr="00910641">
              <w:rPr>
                <w:rFonts w:ascii="Times New Roman" w:hAnsi="Times New Roman" w:cs="Times New Roman"/>
                <w:bCs/>
              </w:rPr>
              <w:t>Kārtība, kādā apliecināmi dokumentu tulkojumi valsts valodā” prasības (attiecībā uz dokumentu tulkojumu noformēšanu un apstiprināšanu)</w:t>
            </w:r>
            <w:r w:rsidR="00057660" w:rsidRPr="00910641">
              <w:rPr>
                <w:rFonts w:ascii="Times New Roman" w:hAnsi="Times New Roman" w:cs="Times New Roman"/>
                <w:bCs/>
              </w:rPr>
              <w:t>.</w:t>
            </w:r>
            <w:r w:rsidR="008B00F6" w:rsidRPr="00910641">
              <w:rPr>
                <w:rFonts w:ascii="Times New Roman" w:eastAsia="Batang" w:hAnsi="Times New Roman" w:cs="Times New Roman"/>
              </w:rPr>
              <w:t xml:space="preserve"> </w:t>
            </w:r>
            <w:r w:rsidR="008B00F6" w:rsidRPr="00910641">
              <w:rPr>
                <w:rFonts w:ascii="Times New Roman" w:eastAsia="Batang" w:hAnsi="Times New Roman" w:cs="Times New Roman"/>
              </w:rPr>
              <w:t xml:space="preserve">Ārvalsts </w:t>
            </w:r>
            <w:r w:rsidR="008B00F6" w:rsidRPr="00973032">
              <w:rPr>
                <w:rFonts w:ascii="Times New Roman" w:hAnsi="Times New Roman" w:cs="Times New Roman"/>
              </w:rPr>
              <w:t>ieinteresēt</w:t>
            </w:r>
            <w:r w:rsidR="00057660" w:rsidRPr="00973032">
              <w:rPr>
                <w:rFonts w:ascii="Times New Roman" w:hAnsi="Times New Roman" w:cs="Times New Roman"/>
              </w:rPr>
              <w:t xml:space="preserve">ajam </w:t>
            </w:r>
            <w:r w:rsidR="008B00F6" w:rsidRPr="00973032">
              <w:rPr>
                <w:rFonts w:ascii="Times New Roman" w:hAnsi="Times New Roman" w:cs="Times New Roman"/>
              </w:rPr>
              <w:t>piegādātāj</w:t>
            </w:r>
            <w:r w:rsidR="00057660" w:rsidRPr="00973032">
              <w:rPr>
                <w:rFonts w:ascii="Times New Roman" w:hAnsi="Times New Roman" w:cs="Times New Roman"/>
              </w:rPr>
              <w:t>am</w:t>
            </w:r>
            <w:r w:rsidR="008B00F6" w:rsidRPr="00973032">
              <w:rPr>
                <w:rFonts w:ascii="Times New Roman" w:hAnsi="Times New Roman" w:cs="Times New Roman"/>
              </w:rPr>
              <w:t xml:space="preserve"> </w:t>
            </w:r>
            <w:r w:rsidR="008B00F6" w:rsidRPr="00973032">
              <w:rPr>
                <w:rFonts w:ascii="Times New Roman" w:eastAsia="Batang" w:hAnsi="Times New Roman" w:cs="Times New Roman"/>
              </w:rPr>
              <w:t xml:space="preserve">piedāvājuma noformēšanā </w:t>
            </w:r>
            <w:r w:rsidR="00057660" w:rsidRPr="00973032">
              <w:rPr>
                <w:rFonts w:ascii="Times New Roman" w:eastAsia="Batang" w:hAnsi="Times New Roman" w:cs="Times New Roman"/>
              </w:rPr>
              <w:t>jā</w:t>
            </w:r>
            <w:r w:rsidR="008B00F6" w:rsidRPr="00973032">
              <w:rPr>
                <w:rFonts w:ascii="Times New Roman" w:eastAsia="Batang" w:hAnsi="Times New Roman" w:cs="Times New Roman"/>
              </w:rPr>
              <w:t xml:space="preserve">ievēro </w:t>
            </w:r>
            <w:r w:rsidR="008B00F6" w:rsidRPr="00973032">
              <w:rPr>
                <w:rFonts w:ascii="Times New Roman" w:hAnsi="Times New Roman" w:cs="Times New Roman"/>
              </w:rPr>
              <w:t>tā reģistrācijas valsts normatīvos aktus, kas reglamentē dokumentu vispārīgās noformēšanas prasības, kas vistuvāk atbilst Latvijas Republikas attiecīgajam normatīvajam dokumentam</w:t>
            </w:r>
            <w:r w:rsidR="00057660" w:rsidRPr="00973032">
              <w:rPr>
                <w:rFonts w:ascii="Times New Roman" w:hAnsi="Times New Roman" w:cs="Times New Roman"/>
              </w:rPr>
              <w:t>.</w:t>
            </w:r>
          </w:p>
          <w:p w:rsidR="005A7D80" w:rsidRPr="00973032" w:rsidRDefault="005A36DD" w:rsidP="00A00105">
            <w:pPr>
              <w:rPr>
                <w:rFonts w:ascii="Times New Roman" w:hAnsi="Times New Roman" w:cs="Times New Roman"/>
              </w:rPr>
            </w:pPr>
            <w:r w:rsidRPr="00973032">
              <w:rPr>
                <w:rFonts w:ascii="Times New Roman" w:hAnsi="Times New Roman" w:cs="Times New Roman"/>
                <w:szCs w:val="24"/>
              </w:rPr>
              <w:t>Ievērojot iepriekš minēto,</w:t>
            </w:r>
            <w:r w:rsidR="001F29B7" w:rsidRPr="00973032">
              <w:rPr>
                <w:rFonts w:ascii="Times New Roman" w:hAnsi="Times New Roman" w:cs="Times New Roman"/>
                <w:szCs w:val="24"/>
              </w:rPr>
              <w:t xml:space="preserve"> vēršam uzmanību, ka saskaņā ar atklāta konkursa nolikuma </w:t>
            </w:r>
            <w:r w:rsidR="005A7D80" w:rsidRPr="00973032">
              <w:rPr>
                <w:rFonts w:ascii="Times New Roman" w:hAnsi="Times New Roman" w:cs="Times New Roman"/>
                <w:szCs w:val="24"/>
              </w:rPr>
              <w:t>7.2.2.</w:t>
            </w:r>
            <w:r w:rsidR="001F29B7" w:rsidRPr="00973032">
              <w:rPr>
                <w:rFonts w:ascii="Times New Roman" w:hAnsi="Times New Roman" w:cs="Times New Roman"/>
                <w:szCs w:val="24"/>
              </w:rPr>
              <w:t xml:space="preserve">punktu, </w:t>
            </w:r>
            <w:r w:rsidR="005A7D80" w:rsidRPr="00973032">
              <w:rPr>
                <w:rFonts w:ascii="Times New Roman" w:hAnsi="Times New Roman" w:cs="Times New Roman"/>
              </w:rPr>
              <w:t xml:space="preserve">ja </w:t>
            </w:r>
            <w:r w:rsidR="001F29B7" w:rsidRPr="00973032">
              <w:rPr>
                <w:rFonts w:ascii="Times New Roman" w:hAnsi="Times New Roman" w:cs="Times New Roman"/>
              </w:rPr>
              <w:t>pasūtītājam</w:t>
            </w:r>
            <w:r w:rsidR="005A7D80" w:rsidRPr="00973032">
              <w:rPr>
                <w:rFonts w:ascii="Times New Roman" w:hAnsi="Times New Roman" w:cs="Times New Roman"/>
              </w:rPr>
              <w:t xml:space="preserve"> r</w:t>
            </w:r>
            <w:r w:rsidR="001F29B7" w:rsidRPr="00973032">
              <w:rPr>
                <w:rFonts w:ascii="Times New Roman" w:hAnsi="Times New Roman" w:cs="Times New Roman"/>
              </w:rPr>
              <w:t>a</w:t>
            </w:r>
            <w:r w:rsidR="005A7D80" w:rsidRPr="00973032">
              <w:rPr>
                <w:rFonts w:ascii="Times New Roman" w:hAnsi="Times New Roman" w:cs="Times New Roman"/>
              </w:rPr>
              <w:t>d</w:t>
            </w:r>
            <w:r w:rsidR="001F29B7" w:rsidRPr="00973032">
              <w:rPr>
                <w:rFonts w:ascii="Times New Roman" w:hAnsi="Times New Roman" w:cs="Times New Roman"/>
              </w:rPr>
              <w:t>ī</w:t>
            </w:r>
            <w:r w:rsidR="005A7D80" w:rsidRPr="00973032">
              <w:rPr>
                <w:rFonts w:ascii="Times New Roman" w:hAnsi="Times New Roman" w:cs="Times New Roman"/>
              </w:rPr>
              <w:t>s</w:t>
            </w:r>
            <w:r w:rsidR="001F29B7" w:rsidRPr="00973032">
              <w:rPr>
                <w:rFonts w:ascii="Times New Roman" w:hAnsi="Times New Roman" w:cs="Times New Roman"/>
              </w:rPr>
              <w:t>ies</w:t>
            </w:r>
            <w:r w:rsidR="005A7D80" w:rsidRPr="00973032">
              <w:rPr>
                <w:rFonts w:ascii="Times New Roman" w:hAnsi="Times New Roman" w:cs="Times New Roman"/>
              </w:rPr>
              <w:t xml:space="preserve"> šaubas par iesniegtā dokumenta</w:t>
            </w:r>
            <w:r w:rsidR="005A7D80" w:rsidRPr="00910641">
              <w:rPr>
                <w:rFonts w:ascii="Times New Roman" w:hAnsi="Times New Roman" w:cs="Times New Roman"/>
              </w:rPr>
              <w:t xml:space="preserve"> autentiskumu (kopijas, tulkojuma) vai attiecīg</w:t>
            </w:r>
            <w:r w:rsidR="001F29B7" w:rsidRPr="00910641">
              <w:rPr>
                <w:rFonts w:ascii="Times New Roman" w:hAnsi="Times New Roman" w:cs="Times New Roman"/>
              </w:rPr>
              <w:t>ā</w:t>
            </w:r>
            <w:r w:rsidR="005A7D80" w:rsidRPr="00910641">
              <w:rPr>
                <w:rFonts w:ascii="Times New Roman" w:hAnsi="Times New Roman" w:cs="Times New Roman"/>
              </w:rPr>
              <w:t xml:space="preserve"> dokument</w:t>
            </w:r>
            <w:r w:rsidR="001F29B7" w:rsidRPr="00910641">
              <w:rPr>
                <w:rFonts w:ascii="Times New Roman" w:hAnsi="Times New Roman" w:cs="Times New Roman"/>
              </w:rPr>
              <w:t>a</w:t>
            </w:r>
            <w:r w:rsidR="005A7D80" w:rsidRPr="00910641">
              <w:rPr>
                <w:rFonts w:ascii="Times New Roman" w:hAnsi="Times New Roman" w:cs="Times New Roman"/>
              </w:rPr>
              <w:t xml:space="preserve"> apliecinā</w:t>
            </w:r>
            <w:r w:rsidR="00032E0D" w:rsidRPr="00910641">
              <w:rPr>
                <w:rFonts w:ascii="Times New Roman" w:hAnsi="Times New Roman" w:cs="Times New Roman"/>
              </w:rPr>
              <w:t>jumu</w:t>
            </w:r>
            <w:r w:rsidR="005A7D80" w:rsidRPr="00910641">
              <w:rPr>
                <w:rFonts w:ascii="Times New Roman" w:hAnsi="Times New Roman" w:cs="Times New Roman"/>
              </w:rPr>
              <w:t xml:space="preserve"> atbilstoši normatīvo aktu</w:t>
            </w:r>
            <w:r w:rsidR="00973032">
              <w:rPr>
                <w:rFonts w:ascii="Times New Roman" w:hAnsi="Times New Roman" w:cs="Times New Roman"/>
              </w:rPr>
              <w:t xml:space="preserve"> </w:t>
            </w:r>
            <w:r w:rsidR="005A7D80" w:rsidRPr="00910641">
              <w:rPr>
                <w:rFonts w:ascii="Times New Roman" w:hAnsi="Times New Roman" w:cs="Times New Roman"/>
              </w:rPr>
              <w:t xml:space="preserve">prasībām, </w:t>
            </w:r>
            <w:r w:rsidR="00032E0D" w:rsidRPr="00910641">
              <w:rPr>
                <w:rFonts w:ascii="Times New Roman" w:hAnsi="Times New Roman" w:cs="Times New Roman"/>
              </w:rPr>
              <w:t xml:space="preserve">tas Sabiedrisko pakalpojumu sniedzēju iepirkumu likuma </w:t>
            </w:r>
            <w:r w:rsidR="005A7D80" w:rsidRPr="00910641">
              <w:rPr>
                <w:rFonts w:ascii="Times New Roman" w:hAnsi="Times New Roman" w:cs="Times New Roman"/>
              </w:rPr>
              <w:t>47.panta astotās daļas kārtībā var pieprasīt, lai pretendents uzrāda dokumenta oriģinālu vai iesniedz apliecinātu dokumenta kopiju.</w:t>
            </w:r>
          </w:p>
        </w:tc>
      </w:tr>
    </w:tbl>
    <w:p w:rsidR="0098236C" w:rsidRPr="00C20434" w:rsidRDefault="0098236C" w:rsidP="00F36C8C">
      <w:pPr>
        <w:ind w:left="-284" w:right="282"/>
        <w:jc w:val="both"/>
        <w:rPr>
          <w:rFonts w:ascii="Arial" w:hAnsi="Arial" w:cs="Arial"/>
        </w:rPr>
      </w:pPr>
    </w:p>
    <w:sectPr w:rsidR="0098236C" w:rsidRPr="00C20434" w:rsidSect="004D6653">
      <w:footerReference w:type="default" r:id="rId5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9730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91256" w:rsidRDefault="0097303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A4CF2"/>
    <w:multiLevelType w:val="multilevel"/>
    <w:tmpl w:val="755CC1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60"/>
    <w:rsid w:val="00032E0D"/>
    <w:rsid w:val="00057660"/>
    <w:rsid w:val="000D0B5A"/>
    <w:rsid w:val="001F29B7"/>
    <w:rsid w:val="003204EA"/>
    <w:rsid w:val="00444933"/>
    <w:rsid w:val="005A36DD"/>
    <w:rsid w:val="005A7D80"/>
    <w:rsid w:val="00637DF3"/>
    <w:rsid w:val="008B00F6"/>
    <w:rsid w:val="00910641"/>
    <w:rsid w:val="00973032"/>
    <w:rsid w:val="0098236C"/>
    <w:rsid w:val="009A2860"/>
    <w:rsid w:val="00A142A3"/>
    <w:rsid w:val="00A45D65"/>
    <w:rsid w:val="00B638AB"/>
    <w:rsid w:val="00C20434"/>
    <w:rsid w:val="00D423F9"/>
    <w:rsid w:val="00ED3A34"/>
    <w:rsid w:val="00F36C8C"/>
    <w:rsid w:val="00F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EBCAC"/>
  <w15:chartTrackingRefBased/>
  <w15:docId w15:val="{65459873-A759-4D71-88DC-F23AB7B7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860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28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860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9A2860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A2860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A2860"/>
    <w:rPr>
      <w:rFonts w:ascii="Times New Roman" w:eastAsia="Times New Roman" w:hAnsi="Times New Roman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A2860"/>
    <w:rPr>
      <w:rFonts w:ascii="Arial" w:hAnsi="Arial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2860"/>
    <w:rPr>
      <w:rFonts w:ascii="Arial" w:hAnsi="Arial"/>
      <w:sz w:val="20"/>
      <w:szCs w:val="21"/>
    </w:rPr>
  </w:style>
  <w:style w:type="paragraph" w:styleId="ListParagraph">
    <w:name w:val="List Paragraph"/>
    <w:aliases w:val="Saistīto dokumentu saraksts,Syle 1,Normal bullet 2,Bullet list,H&amp;P List Paragraph,2,Strip,Numurets,PPS_Bullet,Virsraksti,Saraksta rindkopa"/>
    <w:basedOn w:val="Normal"/>
    <w:link w:val="ListParagraphChar"/>
    <w:uiPriority w:val="34"/>
    <w:qFormat/>
    <w:rsid w:val="005A7D8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,Numurets Char,PPS_Bullet Char,Virsraksti Char,Saraksta rindkopa Char"/>
    <w:link w:val="ListParagraph"/>
    <w:uiPriority w:val="34"/>
    <w:qFormat/>
    <w:locked/>
    <w:rsid w:val="005A7D8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15</cp:revision>
  <dcterms:created xsi:type="dcterms:W3CDTF">2019-10-15T12:12:00Z</dcterms:created>
  <dcterms:modified xsi:type="dcterms:W3CDTF">2019-10-15T13:27:00Z</dcterms:modified>
</cp:coreProperties>
</file>