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B099" w14:textId="77777777" w:rsidR="00D6600F" w:rsidRPr="00AB3184" w:rsidRDefault="00D6600F" w:rsidP="00D6600F">
      <w:pPr>
        <w:tabs>
          <w:tab w:val="left" w:pos="3760"/>
        </w:tabs>
        <w:ind w:left="-284" w:right="-908" w:firstLine="4395"/>
        <w:jc w:val="right"/>
        <w:rPr>
          <w:rFonts w:eastAsia="Calibri"/>
          <w:i/>
          <w:szCs w:val="24"/>
          <w:lang w:eastAsia="lv-LV"/>
        </w:rPr>
      </w:pPr>
      <w:r w:rsidRPr="00AB3184">
        <w:rPr>
          <w:rFonts w:eastAsia="Calibri"/>
          <w:i/>
          <w:szCs w:val="24"/>
          <w:lang w:eastAsia="lv-LV"/>
        </w:rPr>
        <w:t>APSTIPRINĀTS:</w:t>
      </w:r>
    </w:p>
    <w:p w14:paraId="77A0B432" w14:textId="26DE4E7F" w:rsidR="00D6600F" w:rsidRPr="008951BD" w:rsidRDefault="00D6600F" w:rsidP="00D6600F">
      <w:pPr>
        <w:tabs>
          <w:tab w:val="left" w:pos="3760"/>
        </w:tabs>
        <w:ind w:right="-908"/>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2</w:t>
      </w:r>
      <w:r w:rsidRPr="00AB3184">
        <w:rPr>
          <w:rFonts w:eastAsia="Arial Unicode MS"/>
          <w:i/>
          <w:szCs w:val="24"/>
          <w:lang w:eastAsia="lv-LV"/>
        </w:rPr>
        <w:t xml:space="preserve">.gada </w:t>
      </w:r>
      <w:r>
        <w:rPr>
          <w:rFonts w:eastAsia="Arial Unicode MS"/>
          <w:i/>
          <w:szCs w:val="24"/>
          <w:lang w:eastAsia="lv-LV"/>
        </w:rPr>
        <w:t>23.maija</w:t>
      </w:r>
      <w:r w:rsidRPr="008951BD">
        <w:rPr>
          <w:rFonts w:eastAsia="Arial Unicode MS"/>
          <w:i/>
          <w:szCs w:val="24"/>
          <w:lang w:eastAsia="lv-LV"/>
        </w:rPr>
        <w:t xml:space="preserve"> </w:t>
      </w:r>
    </w:p>
    <w:p w14:paraId="6B2DE177" w14:textId="06FAE73F" w:rsidR="00D6600F" w:rsidRDefault="00D6600F" w:rsidP="00D6600F">
      <w:pPr>
        <w:ind w:right="-908"/>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3</w:t>
      </w:r>
    </w:p>
    <w:p w14:paraId="5B4FCA08" w14:textId="2AF0D1CC" w:rsidR="0098236C" w:rsidRDefault="0098236C">
      <w:pPr>
        <w:rPr>
          <w:rFonts w:ascii="Arial" w:hAnsi="Arial" w:cs="Arial"/>
        </w:rPr>
      </w:pPr>
    </w:p>
    <w:p w14:paraId="73AD3BF3" w14:textId="57E1C5FF" w:rsidR="00D6600F" w:rsidRDefault="00D6600F">
      <w:pPr>
        <w:rPr>
          <w:rFonts w:ascii="Arial" w:hAnsi="Arial" w:cs="Arial"/>
        </w:rPr>
      </w:pPr>
    </w:p>
    <w:p w14:paraId="0B75B70F" w14:textId="3DFC71BF" w:rsidR="00D6600F" w:rsidRDefault="00D6600F">
      <w:pPr>
        <w:rPr>
          <w:rFonts w:ascii="Arial" w:hAnsi="Arial" w:cs="Arial"/>
        </w:rPr>
      </w:pPr>
    </w:p>
    <w:p w14:paraId="7B08ED60" w14:textId="77777777" w:rsidR="00D6600F" w:rsidRPr="008B3C58" w:rsidRDefault="00D6600F" w:rsidP="00D6600F">
      <w:pPr>
        <w:jc w:val="center"/>
        <w:rPr>
          <w:b/>
        </w:rPr>
      </w:pPr>
      <w:r w:rsidRPr="008B3C58">
        <w:rPr>
          <w:b/>
        </w:rPr>
        <w:t>VAS </w:t>
      </w:r>
      <w:r w:rsidRPr="008B3C58">
        <w:rPr>
          <w:b/>
          <w:color w:val="222222"/>
        </w:rPr>
        <w:t>„</w:t>
      </w:r>
      <w:r w:rsidRPr="008B3C58">
        <w:rPr>
          <w:b/>
        </w:rPr>
        <w:t xml:space="preserve">Latvijas dzelzceļš” </w:t>
      </w:r>
    </w:p>
    <w:p w14:paraId="20878393" w14:textId="77777777" w:rsidR="00D6600F" w:rsidRPr="008B3C58" w:rsidRDefault="00D6600F" w:rsidP="00D6600F">
      <w:pPr>
        <w:ind w:left="142" w:right="-1"/>
        <w:jc w:val="center"/>
        <w:rPr>
          <w:b/>
        </w:rPr>
      </w:pPr>
      <w:r w:rsidRPr="008B3C58">
        <w:rPr>
          <w:b/>
        </w:rPr>
        <w:t>sarunu procedūras ar publikāciju</w:t>
      </w:r>
    </w:p>
    <w:p w14:paraId="09CF5015" w14:textId="77777777" w:rsidR="00D6600F" w:rsidRPr="002D1804" w:rsidRDefault="00D6600F" w:rsidP="00D6600F">
      <w:pPr>
        <w:ind w:left="284" w:right="282"/>
        <w:jc w:val="center"/>
        <w:rPr>
          <w:b/>
          <w:bCs/>
          <w:color w:val="222222"/>
          <w:szCs w:val="24"/>
        </w:rPr>
      </w:pPr>
      <w:r w:rsidRPr="002D1804">
        <w:rPr>
          <w:b/>
          <w:bCs/>
          <w:color w:val="222222"/>
          <w:szCs w:val="24"/>
        </w:rPr>
        <w:t>„Ēku, būvju nojaukšanas un teritorijas labiekārtošanas</w:t>
      </w:r>
    </w:p>
    <w:p w14:paraId="713FF983" w14:textId="77777777" w:rsidR="00D6600F" w:rsidRDefault="00D6600F" w:rsidP="00D6600F">
      <w:pPr>
        <w:ind w:left="284" w:right="282"/>
        <w:jc w:val="center"/>
        <w:rPr>
          <w:b/>
          <w:bCs/>
          <w:color w:val="222222"/>
          <w:szCs w:val="24"/>
        </w:rPr>
      </w:pPr>
      <w:r w:rsidRPr="002D1804">
        <w:rPr>
          <w:b/>
          <w:bCs/>
          <w:color w:val="222222"/>
          <w:szCs w:val="24"/>
        </w:rPr>
        <w:t>projektu dokumentāciju izstrāde”</w:t>
      </w:r>
    </w:p>
    <w:p w14:paraId="3E540629" w14:textId="77777777" w:rsidR="00D6600F" w:rsidRPr="00381D55" w:rsidRDefault="00D6600F" w:rsidP="00D6600F">
      <w:pPr>
        <w:ind w:left="284" w:right="282"/>
        <w:jc w:val="center"/>
        <w:rPr>
          <w:color w:val="222222"/>
          <w:szCs w:val="24"/>
        </w:rPr>
      </w:pPr>
      <w:r w:rsidRPr="00381D55">
        <w:rPr>
          <w:color w:val="222222"/>
          <w:szCs w:val="24"/>
        </w:rPr>
        <w:t>(turpmāk – sarunu procedūra)</w:t>
      </w:r>
    </w:p>
    <w:p w14:paraId="387D1834" w14:textId="77777777" w:rsidR="00D6600F" w:rsidRPr="00681731" w:rsidRDefault="00D6600F" w:rsidP="00D6600F">
      <w:pPr>
        <w:ind w:left="284" w:right="282"/>
        <w:rPr>
          <w:rFonts w:eastAsia="Calibri"/>
        </w:rPr>
      </w:pPr>
    </w:p>
    <w:p w14:paraId="32165D68" w14:textId="77777777" w:rsidR="00D6600F" w:rsidRPr="00E308A2" w:rsidRDefault="00D6600F" w:rsidP="00D6600F">
      <w:pPr>
        <w:ind w:left="284" w:right="282"/>
        <w:jc w:val="center"/>
        <w:rPr>
          <w:rFonts w:eastAsia="Calibri"/>
          <w:b/>
        </w:rPr>
      </w:pPr>
      <w:r w:rsidRPr="00681731">
        <w:rPr>
          <w:rFonts w:eastAsia="Calibri"/>
          <w:b/>
        </w:rPr>
        <w:t>Skaidrojums Nr.</w:t>
      </w:r>
      <w:r>
        <w:rPr>
          <w:rFonts w:eastAsia="Calibri"/>
          <w:b/>
        </w:rPr>
        <w:t>2</w:t>
      </w:r>
    </w:p>
    <w:p w14:paraId="1F0A2272" w14:textId="77777777" w:rsidR="00D6600F" w:rsidRPr="00291EAB" w:rsidRDefault="00D6600F" w:rsidP="00D6600F">
      <w:pPr>
        <w:ind w:left="284" w:right="282"/>
        <w:jc w:val="center"/>
        <w:rPr>
          <w:rFonts w:eastAsia="Calibri"/>
          <w:b/>
          <w:highlight w:val="yellow"/>
        </w:rPr>
      </w:pPr>
    </w:p>
    <w:tbl>
      <w:tblPr>
        <w:tblW w:w="98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62"/>
      </w:tblGrid>
      <w:tr w:rsidR="00D6600F" w:rsidRPr="006C6AAF" w14:paraId="403BC7E6" w14:textId="77777777" w:rsidTr="00D6600F">
        <w:trPr>
          <w:trHeight w:val="701"/>
        </w:trPr>
        <w:tc>
          <w:tcPr>
            <w:tcW w:w="709" w:type="dxa"/>
            <w:shd w:val="clear" w:color="auto" w:fill="FFF2CC"/>
            <w:vAlign w:val="center"/>
          </w:tcPr>
          <w:p w14:paraId="62D823B6" w14:textId="77777777" w:rsidR="00D6600F" w:rsidRPr="006C6AAF" w:rsidRDefault="00D6600F" w:rsidP="00FD26F9">
            <w:pPr>
              <w:jc w:val="center"/>
              <w:rPr>
                <w:rFonts w:eastAsia="Calibri"/>
                <w:b/>
              </w:rPr>
            </w:pPr>
            <w:r w:rsidRPr="006C6AAF">
              <w:rPr>
                <w:rFonts w:eastAsia="Calibri"/>
                <w:b/>
              </w:rPr>
              <w:t>Nr.</w:t>
            </w:r>
          </w:p>
          <w:p w14:paraId="18DEF515" w14:textId="77777777" w:rsidR="00D6600F" w:rsidRPr="006C6AAF" w:rsidRDefault="00D6600F" w:rsidP="00FD26F9">
            <w:pPr>
              <w:jc w:val="center"/>
              <w:rPr>
                <w:rFonts w:eastAsia="Calibri"/>
                <w:b/>
              </w:rPr>
            </w:pPr>
            <w:r w:rsidRPr="006C6AAF">
              <w:rPr>
                <w:rFonts w:eastAsia="Calibri"/>
                <w:b/>
              </w:rPr>
              <w:t>p.k.</w:t>
            </w:r>
          </w:p>
        </w:tc>
        <w:tc>
          <w:tcPr>
            <w:tcW w:w="4253" w:type="dxa"/>
            <w:shd w:val="clear" w:color="auto" w:fill="FFF2CC"/>
            <w:vAlign w:val="center"/>
          </w:tcPr>
          <w:p w14:paraId="3C6CD2B0" w14:textId="77777777" w:rsidR="00D6600F" w:rsidRPr="006C6AAF" w:rsidRDefault="00D6600F" w:rsidP="00FD26F9">
            <w:pPr>
              <w:jc w:val="center"/>
              <w:rPr>
                <w:rFonts w:eastAsia="Calibri"/>
                <w:b/>
                <w:i/>
              </w:rPr>
            </w:pPr>
            <w:r w:rsidRPr="006C6AAF">
              <w:rPr>
                <w:rFonts w:eastAsia="Calibri"/>
                <w:b/>
                <w:i/>
              </w:rPr>
              <w:t>Jautājums</w:t>
            </w:r>
          </w:p>
        </w:tc>
        <w:tc>
          <w:tcPr>
            <w:tcW w:w="4862" w:type="dxa"/>
            <w:shd w:val="clear" w:color="auto" w:fill="FFF2CC"/>
            <w:vAlign w:val="center"/>
          </w:tcPr>
          <w:p w14:paraId="35DB7C49" w14:textId="77777777" w:rsidR="00D6600F" w:rsidRPr="006C6AAF" w:rsidRDefault="00D6600F" w:rsidP="00FD26F9">
            <w:pPr>
              <w:jc w:val="center"/>
              <w:rPr>
                <w:rFonts w:eastAsia="Calibri"/>
                <w:b/>
                <w:i/>
                <w:highlight w:val="yellow"/>
              </w:rPr>
            </w:pPr>
            <w:r w:rsidRPr="006C6AAF">
              <w:rPr>
                <w:rFonts w:eastAsia="Calibri"/>
                <w:b/>
                <w:i/>
              </w:rPr>
              <w:t>Atbilde</w:t>
            </w:r>
          </w:p>
        </w:tc>
      </w:tr>
      <w:tr w:rsidR="00D6600F" w:rsidRPr="006C6AAF" w14:paraId="72FCD96B" w14:textId="77777777" w:rsidTr="00D6600F">
        <w:trPr>
          <w:trHeight w:val="1661"/>
        </w:trPr>
        <w:tc>
          <w:tcPr>
            <w:tcW w:w="709" w:type="dxa"/>
            <w:shd w:val="clear" w:color="auto" w:fill="auto"/>
          </w:tcPr>
          <w:p w14:paraId="5070920E" w14:textId="77777777" w:rsidR="00D6600F" w:rsidRPr="004E3B9E" w:rsidRDefault="00D6600F" w:rsidP="00FD26F9">
            <w:pPr>
              <w:jc w:val="center"/>
              <w:rPr>
                <w:rFonts w:eastAsia="Calibri"/>
              </w:rPr>
            </w:pPr>
            <w:r w:rsidRPr="004E3B9E">
              <w:rPr>
                <w:rFonts w:eastAsia="Calibri"/>
              </w:rPr>
              <w:t>1.</w:t>
            </w:r>
          </w:p>
        </w:tc>
        <w:tc>
          <w:tcPr>
            <w:tcW w:w="4253" w:type="dxa"/>
            <w:shd w:val="clear" w:color="auto" w:fill="auto"/>
          </w:tcPr>
          <w:p w14:paraId="099FF237" w14:textId="77777777" w:rsidR="00D6600F" w:rsidRDefault="00D6600F" w:rsidP="00FD26F9">
            <w:pPr>
              <w:rPr>
                <w:sz w:val="22"/>
              </w:rPr>
            </w:pPr>
            <w:r>
              <w:t>Kuras no ēkām ir pieslēgtas inženierkomunikāciju tīkliem un vai ir ēku TAA (tehniskās apsekošanas atzinums)?</w:t>
            </w:r>
          </w:p>
          <w:p w14:paraId="581BD443" w14:textId="77777777" w:rsidR="00D6600F" w:rsidRPr="007F0EC3" w:rsidRDefault="00D6600F" w:rsidP="00FD26F9">
            <w:r>
              <w:t>Tā kā inženierkomunikāciju tīklu esamība vai neesamība būtiski ietekmē pakalpojuma cenu, iespēju robežās lūdzam pagarināt iesniegšanas termiņu.</w:t>
            </w:r>
          </w:p>
        </w:tc>
        <w:tc>
          <w:tcPr>
            <w:tcW w:w="4862" w:type="dxa"/>
            <w:shd w:val="clear" w:color="auto" w:fill="auto"/>
          </w:tcPr>
          <w:p w14:paraId="3EAAF597" w14:textId="77777777" w:rsidR="00D6600F" w:rsidRPr="00937EC6" w:rsidRDefault="00D6600F" w:rsidP="00FD26F9">
            <w:pPr>
              <w:shd w:val="clear" w:color="auto" w:fill="FFFFFF"/>
              <w:rPr>
                <w:color w:val="000000"/>
                <w:szCs w:val="24"/>
                <w:shd w:val="clear" w:color="auto" w:fill="FFFFFF"/>
              </w:rPr>
            </w:pPr>
            <w:r w:rsidRPr="003C157A">
              <w:rPr>
                <w:szCs w:val="24"/>
              </w:rPr>
              <w:t xml:space="preserve">Skaidrojam, ka </w:t>
            </w:r>
            <w:r w:rsidRPr="003C157A">
              <w:rPr>
                <w:szCs w:val="24"/>
                <w:bdr w:val="none" w:sz="0" w:space="0" w:color="auto" w:frame="1"/>
                <w:lang w:eastAsia="lv-LV"/>
              </w:rPr>
              <w:t xml:space="preserve">tehniskās apsekošanas atzinumu ēkām nav. Saskaņā ar Ministru kabineta </w:t>
            </w:r>
            <w:r w:rsidRPr="003C157A">
              <w:rPr>
                <w:szCs w:val="24"/>
                <w:shd w:val="clear" w:color="auto" w:fill="FFFFFF"/>
              </w:rPr>
              <w:t xml:space="preserve"> 2014.gada 2.septembra </w:t>
            </w:r>
            <w:r w:rsidRPr="003C157A">
              <w:rPr>
                <w:szCs w:val="24"/>
                <w:bdr w:val="none" w:sz="0" w:space="0" w:color="auto" w:frame="1"/>
                <w:lang w:eastAsia="lv-LV"/>
              </w:rPr>
              <w:t xml:space="preserve">noteikumiem Nr.529 </w:t>
            </w:r>
            <w:r w:rsidRPr="003C157A">
              <w:rPr>
                <w:szCs w:val="24"/>
              </w:rPr>
              <w:t>„</w:t>
            </w:r>
            <w:r w:rsidRPr="003C157A">
              <w:rPr>
                <w:szCs w:val="24"/>
                <w:bdr w:val="none" w:sz="0" w:space="0" w:color="auto" w:frame="1"/>
                <w:lang w:eastAsia="lv-LV"/>
              </w:rPr>
              <w:t>Ēku būvnoteikumi”, 7.</w:t>
            </w:r>
            <w:r w:rsidRPr="003C157A">
              <w:rPr>
                <w:szCs w:val="24"/>
                <w:bdr w:val="none" w:sz="0" w:space="0" w:color="auto" w:frame="1"/>
                <w:vertAlign w:val="superscript"/>
                <w:lang w:eastAsia="lv-LV"/>
              </w:rPr>
              <w:t>1</w:t>
            </w:r>
            <w:r w:rsidRPr="003C157A">
              <w:rPr>
                <w:szCs w:val="24"/>
                <w:bdr w:val="none" w:sz="0" w:space="0" w:color="auto" w:frame="1"/>
                <w:lang w:eastAsia="lv-LV"/>
              </w:rPr>
              <w:t xml:space="preserve">.3.punktu  paziņojumu par būvniecību, nepieciešams izstādāt situācijas plānu, kā arī saskaņā ar 23.punktu, paskaidrojuma </w:t>
            </w:r>
            <w:r w:rsidRPr="00937EC6">
              <w:rPr>
                <w:color w:val="000000"/>
                <w:szCs w:val="24"/>
                <w:bdr w:val="none" w:sz="0" w:space="0" w:color="auto" w:frame="1"/>
                <w:lang w:eastAsia="lv-LV"/>
              </w:rPr>
              <w:t xml:space="preserve">rakstā  arī jāizstrādā situācijas plāns. Saskaņā ar  </w:t>
            </w:r>
            <w:r w:rsidRPr="00937EC6">
              <w:rPr>
                <w:color w:val="000000"/>
                <w:szCs w:val="24"/>
                <w:shd w:val="clear" w:color="auto" w:fill="FFFFFF"/>
              </w:rPr>
              <w:t>1.</w:t>
            </w:r>
            <w:r w:rsidRPr="00937EC6">
              <w:rPr>
                <w:color w:val="000000"/>
                <w:szCs w:val="24"/>
                <w:vertAlign w:val="superscript"/>
              </w:rPr>
              <w:t>1</w:t>
            </w:r>
            <w:r w:rsidRPr="00937EC6">
              <w:rPr>
                <w:color w:val="000000"/>
                <w:szCs w:val="24"/>
              </w:rPr>
              <w:t> 1.punktu  </w:t>
            </w:r>
            <w:r w:rsidRPr="00937EC6">
              <w:rPr>
                <w:color w:val="000000"/>
                <w:szCs w:val="24"/>
                <w:bdr w:val="none" w:sz="0" w:space="0" w:color="auto" w:frame="1"/>
                <w:lang w:eastAsia="lv-LV"/>
              </w:rPr>
              <w:t>  </w:t>
            </w:r>
            <w:r w:rsidRPr="00937EC6">
              <w:rPr>
                <w:color w:val="222222"/>
                <w:szCs w:val="24"/>
              </w:rPr>
              <w:t>„</w:t>
            </w:r>
            <w:r w:rsidRPr="00937EC6">
              <w:rPr>
                <w:color w:val="000000"/>
                <w:szCs w:val="24"/>
                <w:shd w:val="clear" w:color="auto" w:fill="FFFFFF"/>
              </w:rPr>
              <w:t>1.</w:t>
            </w:r>
            <w:r w:rsidRPr="00937EC6">
              <w:rPr>
                <w:color w:val="000000"/>
                <w:szCs w:val="24"/>
                <w:vertAlign w:val="superscript"/>
              </w:rPr>
              <w:t>1</w:t>
            </w:r>
            <w:r w:rsidRPr="00937EC6">
              <w:rPr>
                <w:color w:val="000000"/>
                <w:szCs w:val="24"/>
              </w:rPr>
              <w:t> 1. būvju situācijas plāns – augstas detalizācijas topogrāfiskās informācijas, ielu sarkano līniju, zemes vienību robežu un to kadastra apzīmējumu un zemes vienību daļu un to kadastra apzīmējumu savietots attēlojums vizuāli uztveramā mērogā (M 1:250; M 1:500; M 1:1000)”. Pamatojies uz iepriekš minēto, topogrāfija būs nepieciešama visos gadījumos. Topogrāfijā būs parādīti visi tīkli</w:t>
            </w:r>
            <w:r>
              <w:rPr>
                <w:color w:val="000000"/>
                <w:szCs w:val="24"/>
              </w:rPr>
              <w:t>,</w:t>
            </w:r>
            <w:r w:rsidRPr="00937EC6">
              <w:rPr>
                <w:color w:val="000000"/>
                <w:szCs w:val="24"/>
              </w:rPr>
              <w:t xml:space="preserve"> pie kuriem ēka ir pieslēgt</w:t>
            </w:r>
            <w:r>
              <w:rPr>
                <w:color w:val="000000"/>
                <w:szCs w:val="24"/>
              </w:rPr>
              <w:t>a</w:t>
            </w:r>
            <w:r w:rsidRPr="00937EC6">
              <w:rPr>
                <w:color w:val="000000"/>
                <w:szCs w:val="24"/>
              </w:rPr>
              <w:t xml:space="preserve">. Norādām, ka saskaņā ar sarunu procedūras ar publikāciju nolikuma 2.8.punktu </w:t>
            </w:r>
            <w:r w:rsidRPr="00937EC6">
              <w:rPr>
                <w:szCs w:val="24"/>
              </w:rPr>
              <w:t>ieinteresētie izpildītāji pēc nepieciešamības pastāvīgi var veikt objekta (-u) apskati un attiecīgi</w:t>
            </w:r>
            <w:r w:rsidRPr="00937EC6">
              <w:rPr>
                <w:szCs w:val="24"/>
                <w:bdr w:val="none" w:sz="0" w:space="0" w:color="auto" w:frame="1"/>
                <w:lang w:eastAsia="lv-LV"/>
              </w:rPr>
              <w:t xml:space="preserve"> pārliecināties </w:t>
            </w:r>
            <w:r w:rsidRPr="00937EC6">
              <w:rPr>
                <w:color w:val="000000"/>
                <w:szCs w:val="24"/>
                <w:shd w:val="clear" w:color="auto" w:fill="FFFFFF"/>
              </w:rPr>
              <w:t>par ēkas (-u) pieslēgumiem pie tīkliem.</w:t>
            </w:r>
          </w:p>
          <w:p w14:paraId="3F9C873C" w14:textId="77777777" w:rsidR="00D6600F" w:rsidRPr="002D1804" w:rsidRDefault="00D6600F" w:rsidP="00FD26F9">
            <w:pPr>
              <w:shd w:val="clear" w:color="auto" w:fill="FFFFFF"/>
              <w:rPr>
                <w:bCs/>
                <w:szCs w:val="24"/>
                <w:highlight w:val="yellow"/>
              </w:rPr>
            </w:pPr>
            <w:r w:rsidRPr="00937EC6">
              <w:rPr>
                <w:color w:val="000000"/>
                <w:szCs w:val="24"/>
                <w:shd w:val="clear" w:color="auto" w:fill="FFFFFF"/>
              </w:rPr>
              <w:t>Vienlaikus lūdzam skatīt sarunu procedūras Grozījumus Nr.1.</w:t>
            </w:r>
          </w:p>
        </w:tc>
      </w:tr>
      <w:tr w:rsidR="00D6600F" w:rsidRPr="006C6AAF" w14:paraId="6CD7DA46" w14:textId="77777777" w:rsidTr="00D17C76">
        <w:trPr>
          <w:trHeight w:val="841"/>
        </w:trPr>
        <w:tc>
          <w:tcPr>
            <w:tcW w:w="709" w:type="dxa"/>
            <w:shd w:val="clear" w:color="auto" w:fill="auto"/>
          </w:tcPr>
          <w:p w14:paraId="692DC8CB" w14:textId="77777777" w:rsidR="00D6600F" w:rsidRPr="004E3B9E" w:rsidRDefault="00D6600F" w:rsidP="00FD26F9">
            <w:pPr>
              <w:jc w:val="center"/>
              <w:rPr>
                <w:rFonts w:eastAsia="Calibri"/>
              </w:rPr>
            </w:pPr>
            <w:r>
              <w:rPr>
                <w:rFonts w:eastAsia="Calibri"/>
              </w:rPr>
              <w:t>2.</w:t>
            </w:r>
          </w:p>
        </w:tc>
        <w:tc>
          <w:tcPr>
            <w:tcW w:w="4253" w:type="dxa"/>
            <w:shd w:val="clear" w:color="auto" w:fill="auto"/>
          </w:tcPr>
          <w:p w14:paraId="1C7CF561" w14:textId="77777777" w:rsidR="00D6600F" w:rsidRDefault="00D6600F" w:rsidP="00FD26F9">
            <w:r>
              <w:rPr>
                <w:rFonts w:eastAsia="Times New Roman"/>
              </w:rPr>
              <w:t xml:space="preserve">Pielikumā Nr. 1 punktā 4.6. tiek prasīts </w:t>
            </w:r>
            <w:r w:rsidRPr="003C157A">
              <w:rPr>
                <w:szCs w:val="24"/>
              </w:rPr>
              <w:t>„</w:t>
            </w:r>
            <w:r>
              <w:rPr>
                <w:rFonts w:eastAsia="Times New Roman"/>
                <w:color w:val="000000"/>
              </w:rPr>
              <w:t xml:space="preserve">sertifikāta kopija „Ēku konstrukciju projektēšana” vai „Arhitekta prakse”, kas apliecina, ka pretendents pakalpojuma izpildei nodrošina sertificētu un pieredzējušu projektu dokumentācijas izstrādes vadītāju”. Sertifikāti vairs netiek izdoti, tie ir BIS sistēmā redzami.  Mums </w:t>
            </w:r>
            <w:r>
              <w:rPr>
                <w:rFonts w:eastAsia="Times New Roman"/>
                <w:color w:val="000000"/>
              </w:rPr>
              <w:lastRenderedPageBreak/>
              <w:t xml:space="preserve">šie speciālisti ir uzņēmumā, kas ir redzams </w:t>
            </w:r>
            <w:proofErr w:type="spellStart"/>
            <w:r>
              <w:rPr>
                <w:rFonts w:eastAsia="Times New Roman"/>
                <w:color w:val="000000"/>
              </w:rPr>
              <w:t>BISā</w:t>
            </w:r>
            <w:proofErr w:type="spellEnd"/>
            <w:r>
              <w:rPr>
                <w:rFonts w:eastAsia="Times New Roman"/>
                <w:color w:val="000000"/>
              </w:rPr>
              <w:t>. Ko darīt?</w:t>
            </w:r>
          </w:p>
        </w:tc>
        <w:tc>
          <w:tcPr>
            <w:tcW w:w="4862" w:type="dxa"/>
            <w:shd w:val="clear" w:color="auto" w:fill="auto"/>
          </w:tcPr>
          <w:p w14:paraId="00DE57B8" w14:textId="77777777" w:rsidR="00D6600F" w:rsidRPr="002456E7" w:rsidRDefault="00D6600F" w:rsidP="00FD26F9">
            <w:r w:rsidRPr="005968C4">
              <w:lastRenderedPageBreak/>
              <w:t xml:space="preserve">Skaidrojam, ka gadījumā, ja par sarunu procedūras nolikuma 4.6.punktā noteikto pretendenta kvalifikāciju var pārliecināties Būvniecības informācijas sistēmā (BIS), tad </w:t>
            </w:r>
            <w:r w:rsidRPr="005968C4">
              <w:rPr>
                <w:iCs/>
                <w:color w:val="000000" w:themeColor="text1"/>
              </w:rPr>
              <w:t xml:space="preserve">sertifikāta kopiju „Ēku konstrukciju projektēšana” vai „Arhitekta prakse”, kas apliecina, ka </w:t>
            </w:r>
            <w:r w:rsidRPr="005968C4">
              <w:rPr>
                <w:rFonts w:eastAsia="Calibri"/>
                <w:color w:val="000000" w:themeColor="text1"/>
              </w:rPr>
              <w:t xml:space="preserve">pretendents pakalpojuma izpildei nodrošina sertificētu un pieredzējušu projektu </w:t>
            </w:r>
            <w:r w:rsidRPr="005968C4">
              <w:rPr>
                <w:rFonts w:eastAsia="Calibri"/>
                <w:color w:val="000000" w:themeColor="text1"/>
              </w:rPr>
              <w:lastRenderedPageBreak/>
              <w:t xml:space="preserve">dokumentācijas izstrādes vadītāju </w:t>
            </w:r>
            <w:r w:rsidRPr="005968C4">
              <w:t>ar piedāvājumu nav nepieciešams iesniegt un pasūtītājs pārbaudīs minēto informāciju BIS.</w:t>
            </w:r>
          </w:p>
        </w:tc>
      </w:tr>
      <w:tr w:rsidR="00D6600F" w:rsidRPr="006C6AAF" w14:paraId="42C7DF1F" w14:textId="77777777" w:rsidTr="00D6600F">
        <w:trPr>
          <w:trHeight w:val="1661"/>
        </w:trPr>
        <w:tc>
          <w:tcPr>
            <w:tcW w:w="709" w:type="dxa"/>
            <w:shd w:val="clear" w:color="auto" w:fill="auto"/>
          </w:tcPr>
          <w:p w14:paraId="2FDDA49F" w14:textId="77777777" w:rsidR="00D6600F" w:rsidRPr="004E3B9E" w:rsidRDefault="00D6600F" w:rsidP="00FD26F9">
            <w:pPr>
              <w:jc w:val="center"/>
              <w:rPr>
                <w:rFonts w:eastAsia="Calibri"/>
              </w:rPr>
            </w:pPr>
            <w:r>
              <w:rPr>
                <w:rFonts w:eastAsia="Calibri"/>
              </w:rPr>
              <w:lastRenderedPageBreak/>
              <w:t>3.</w:t>
            </w:r>
          </w:p>
        </w:tc>
        <w:tc>
          <w:tcPr>
            <w:tcW w:w="4253" w:type="dxa"/>
            <w:shd w:val="clear" w:color="auto" w:fill="auto"/>
          </w:tcPr>
          <w:p w14:paraId="65012A12" w14:textId="77777777" w:rsidR="00D6600F" w:rsidRDefault="00D6600F" w:rsidP="00FD26F9">
            <w:r>
              <w:rPr>
                <w:rFonts w:eastAsia="Times New Roman"/>
              </w:rPr>
              <w:t>Kā ar vājstrāvām pielikumā Nr. 3 nekas nav teikts.</w:t>
            </w:r>
          </w:p>
        </w:tc>
        <w:tc>
          <w:tcPr>
            <w:tcW w:w="4862" w:type="dxa"/>
            <w:shd w:val="clear" w:color="auto" w:fill="auto"/>
          </w:tcPr>
          <w:p w14:paraId="78B7EB39" w14:textId="77777777" w:rsidR="00D6600F" w:rsidRPr="00381D55" w:rsidRDefault="00D6600F" w:rsidP="00FD26F9">
            <w:pPr>
              <w:rPr>
                <w:color w:val="000000"/>
              </w:rPr>
            </w:pPr>
            <w:r w:rsidRPr="00381D55">
              <w:rPr>
                <w:color w:val="222222"/>
                <w:szCs w:val="24"/>
              </w:rPr>
              <w:t>Skaidrojam, ka sarunu procedūras nolikuma 3.pielikuma „</w:t>
            </w:r>
            <w:r w:rsidRPr="00381D55">
              <w:rPr>
                <w:color w:val="000000"/>
              </w:rPr>
              <w:t xml:space="preserve">Projektēšanas uzdevums” 3.3.1.punkts nosaka, ka </w:t>
            </w:r>
            <w:r w:rsidRPr="00D37B58">
              <w:rPr>
                <w:i/>
                <w:iCs/>
                <w:color w:val="222222"/>
                <w:szCs w:val="24"/>
              </w:rPr>
              <w:t>„</w:t>
            </w:r>
            <w:r w:rsidRPr="00D37B58">
              <w:rPr>
                <w:i/>
                <w:iCs/>
                <w:color w:val="000000"/>
              </w:rPr>
              <w:t>Nojaukšanas projektu dokumentācijas izstrādāšana saskaņošana, ēku, būvju nojaukšanai,  to atslēgumiem no ārējiem komunikācijas tīkliem, kā arī ar tiem saistīto inženierkomunikāciju nojaukšanai (ja nepieciešams, konsultēties ar Pasūtītāja pārstāvjiem)”</w:t>
            </w:r>
            <w:r w:rsidRPr="00381D55">
              <w:rPr>
                <w:i/>
                <w:iCs/>
                <w:color w:val="000000"/>
              </w:rPr>
              <w:t xml:space="preserve">. </w:t>
            </w:r>
            <w:r w:rsidRPr="00381D55">
              <w:rPr>
                <w:color w:val="000000"/>
              </w:rPr>
              <w:t>Minētais punkts attiecas arī uz</w:t>
            </w:r>
            <w:r>
              <w:rPr>
                <w:color w:val="000000"/>
              </w:rPr>
              <w:t xml:space="preserve"> </w:t>
            </w:r>
            <w:r w:rsidRPr="00381D55">
              <w:rPr>
                <w:color w:val="000000"/>
              </w:rPr>
              <w:t>vājstrāvām, jo pēc būtības nav iespējams demontēt būvi, bet iekšējo tīklu atstāt.</w:t>
            </w:r>
          </w:p>
        </w:tc>
      </w:tr>
    </w:tbl>
    <w:p w14:paraId="08C77405" w14:textId="77777777" w:rsidR="00D6600F" w:rsidRPr="00C20434" w:rsidRDefault="00D6600F" w:rsidP="00D6600F">
      <w:pPr>
        <w:rPr>
          <w:rFonts w:ascii="Arial" w:hAnsi="Arial" w:cs="Arial"/>
        </w:rPr>
      </w:pPr>
    </w:p>
    <w:p w14:paraId="66BA896E" w14:textId="77777777" w:rsidR="00D6600F" w:rsidRDefault="00D6600F" w:rsidP="00D6600F">
      <w:pPr>
        <w:ind w:right="-143"/>
        <w:jc w:val="right"/>
        <w:rPr>
          <w:b/>
          <w:i/>
          <w:szCs w:val="24"/>
        </w:rPr>
      </w:pPr>
    </w:p>
    <w:p w14:paraId="18A4882D" w14:textId="77777777" w:rsidR="00D6600F" w:rsidRPr="00C20434" w:rsidRDefault="00D6600F">
      <w:pPr>
        <w:rPr>
          <w:rFonts w:ascii="Arial" w:hAnsi="Arial" w:cs="Arial"/>
        </w:rPr>
      </w:pPr>
    </w:p>
    <w:sectPr w:rsidR="00D6600F"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0F"/>
    <w:rsid w:val="003204EA"/>
    <w:rsid w:val="003D3868"/>
    <w:rsid w:val="0098236C"/>
    <w:rsid w:val="00C20434"/>
    <w:rsid w:val="00D17C76"/>
    <w:rsid w:val="00D660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25C4"/>
  <w15:chartTrackingRefBased/>
  <w15:docId w15:val="{92DE6BE7-1ACD-4DB5-938E-E6236F1E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600F"/>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1901</Words>
  <Characters>1085</Characters>
  <Application>Microsoft Office Word</Application>
  <DocSecurity>0</DocSecurity>
  <Lines>9</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2022-05-23T14:02:00Z</dcterms:created>
  <dcterms:modified xsi:type="dcterms:W3CDTF">2022-05-23T14:02:00Z</dcterms:modified>
</cp:coreProperties>
</file>